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附件3.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t>1、设备用途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5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电子变像探测系统基于电子光学原理，可以实现对微弱回波信号时域上进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行波形采样、空域上成像分辨。与传统二维面阵探测器相比，电子变像探测系统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可同时实现时间分辨和空间分辨。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2、设备工作环境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工作温度：  0℃ ~ +40℃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0"/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相对湿度：  10%~60%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3、技术指标要求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5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该系统具体用于激光雷达收发匹配测试。经过整形的激光信号经发射光学系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统发射至远距离目标，目标返回的信号经接收光学系统滤波并收集后由电子变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像探测系统探测，同时解析得到回波的波形信息和空间分辨信息，通过该信息，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可以评价激光整形发射及接收的匹配情况。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25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鉴于以上需求，现要求技术指标如下：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360" w:before="0" w:after="0"/>
        <w:ind w:left="845" w:right="0" w:hanging="42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成像帧频：1-2KHz；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360" w:before="0" w:after="0"/>
        <w:ind w:left="845" w:right="0" w:hanging="42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光敏面：≥3×10mm；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360" w:before="0" w:after="0"/>
        <w:ind w:left="845" w:right="0" w:hanging="42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空间分辨率：优于20lp；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360" w:before="0" w:after="0"/>
        <w:ind w:left="845" w:right="0" w:hanging="42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时间分辨率：1ns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360" w:before="0" w:after="0"/>
        <w:ind w:left="845" w:right="0" w:hanging="42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响应波长：400-600nm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360" w:before="0" w:after="0"/>
        <w:ind w:left="845" w:right="0" w:hanging="42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触发方式：SMA接口，5V（50欧）</w:t>
      </w:r>
    </w:p>
    <w:p>
      <w:pPr>
        <w:pStyle w:val="PO26"/>
        <w:bidi w:val="0"/>
        <w:numPr>
          <w:ilvl w:val="0"/>
          <w:numId w:val="1"/>
        </w:numPr>
        <w:jc w:val="both"/>
        <w:spacing w:lineRule="auto" w:line="360" w:before="0" w:after="0"/>
        <w:ind w:left="845" w:right="0" w:hanging="42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控制方式：程控，RS232或RS422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425"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供货周期为：2个月。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425" w:right="0" w:firstLine="0"/>
        <w:rPr>
          <w:color w:val="000000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保修期一年，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激光器出现问题24小时内有响应。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ahoma" w:eastAsia="Tahoma" w:hAnsi="Tahoma" w:hint="default"/>
        </w:rPr>
        <w:wordWrap w:val="off"/>
      </w:pPr>
    </w:p>
    <w:sectPr>
      <w:pgSz w:w="11906" w:h="16838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845" w:hanging="420"/>
        <w:jc w:val="both"/>
      </w:pPr>
      <w:rPr>
        <w:color w:val="000000"/>
        <w:rFonts w:ascii="宋体" w:eastAsia="宋体" w:hAnsi="宋体"/>
        <w:b w:val="0"/>
        <w:sz w:val="20"/>
        <w:szCs w:val="20"/>
        <w:u w:val="none"/>
        <w:w w:val="100"/>
      </w:rPr>
      <w:lvlText w:val="★"/>
    </w:lvl>
    <w:lvl w:ilvl="1">
      <w:lvlJc w:val="left"/>
      <w:numFmt w:val="bullet"/>
      <w:start w:val="1"/>
      <w:suff w:val="tab"/>
      <w:pPr>
        <w:ind w:left="1265" w:hanging="420"/>
        <w:jc w:val="both"/>
      </w:pPr>
      <w:rPr>
        <w:rFonts w:ascii="Wingdings" w:eastAsia="Wingdings" w:hAnsi="Wingdings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85" w:hanging="420"/>
        <w:jc w:val="both"/>
      </w:pPr>
      <w:rPr>
        <w:rFonts w:ascii="Wingdings" w:eastAsia="Wingdings" w:hAnsi="Wingdings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105" w:hanging="420"/>
        <w:jc w:val="both"/>
      </w:pPr>
      <w:rPr>
        <w:rFonts w:ascii="Wingdings" w:eastAsia="Wingdings" w:hAnsi="Wingdings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525" w:hanging="420"/>
        <w:jc w:val="both"/>
      </w:pPr>
      <w:rPr>
        <w:rFonts w:ascii="Wingdings" w:eastAsia="Wingdings" w:hAnsi="Wingdings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945" w:hanging="420"/>
        <w:jc w:val="both"/>
      </w:pPr>
      <w:rPr>
        <w:rFonts w:ascii="Wingdings" w:eastAsia="Wingdings" w:hAnsi="Wingdings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365" w:hanging="420"/>
        <w:jc w:val="both"/>
      </w:pPr>
      <w:rPr>
        <w:rFonts w:ascii="Wingdings" w:eastAsia="Wingdings" w:hAnsi="Wingdings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785" w:hanging="420"/>
        <w:jc w:val="both"/>
      </w:pPr>
      <w:rPr>
        <w:rFonts w:ascii="Wingdings" w:eastAsia="Wingdings" w:hAnsi="Wingdings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205" w:hanging="420"/>
        <w:jc w:val="both"/>
      </w:pPr>
      <w:rPr>
        <w:rFonts w:ascii="Wingdings" w:eastAsia="Wingdings" w:hAnsi="Wingdings"/>
        <w:sz w:val="20"/>
        <w:szCs w:val="20"/>
        <w:w w:val="100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微软雅黑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ind w:firstLine="420"/>
      <w:widowControl/>
    </w:pPr>
    <w:rPr>
      <w:rFonts w:ascii="宋体" w:eastAsia="宋体" w:hAnsi="宋体"/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</Lines>
  <LinksUpToDate>false</LinksUpToDate>
  <Pages>1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2008-09-11T17:21:00Z</dcterms:modified>
</cp:coreProperties>
</file>