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一、真空精密定位平台4套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*1. 支持真空环境下使用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*2. 10-4 Pa 真空度兼容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*3. ≥ 25mm 行程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4. 光栅尺闭环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5. 最小运动分辨率：≤  0.2微米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*6. 双向重复定位精度：≤  0.2微米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7. 最大运动速度：≥  20mm/s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8. 负载能力：≥  5kg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*9. 体积：≤ 86 x 60 x 21 mm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10. 包含15米真空电缆， 真空连接器和10米大气电缆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二、配套运动控制器4个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1. 单通道，适合控制直流电机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2. PID算法控制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3. 伺服控制周期：≤ 50 微秒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4. 最大功率：≤ 30W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5. 计算机通讯接口：USB , RS232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6. 多个控制器串联通讯：支持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7. 二次编程：支持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三、小型六自由度平台1个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*1. 运动行程 X，Y，Z： ≥ ±17, ±16, ±6.5 mm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*2. 运动行程θX，θY, θZ：  ≥ ±10, ±10, ±21°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*3. 最小增量位移X，Y：≤  0.2微米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*4. 最小增量位移Z：≤  0.08微米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*5. 最小增量位移θX，θY, θZ： ≤2.5 µrad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*6. 单向重复定位精度X，Y： ≤ ±0.15微米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*7. 单向重复定位精度Z： ≤ ±0.06 微米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*8. 单向重复定位精度θX，θY： ≤± 2 µrad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*9. 单向重复定位精度θZ： ≤± 3 µrad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10. 最大运动速度X，Y，Z： ≥ 20 mm/s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11. 最大运动速度θX，θY, θZ: ≥ 500 mrad / 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*12. 负载能力（水平安装姿态 / 任意安装姿态）: ≥ 5 / 2.5 kg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13. 自重： ≤  2.2kg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四、小型六自由度平台配套控制器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1. 适合控制并联六自由度定位平台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2. 六通道，适合控制无刷直流电机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3. PID算法控制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4. 伺服控制周期：≤ 100 微秒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5. 最大功率：≤ 30W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6. 计算机通讯接口：USB , RS232,  TCP/IP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7.  二次编程：支持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8.  10米电缆套装， 适合六自由度平台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Tahoma" w:eastAsia="Tahoma" w:hAnsi="Tahoma" w:hint="default"/>
        </w:rPr>
        <w:wordWrap w:val="off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 xml:space="preserve">注： 标注“*”参数为关键性技术参数，必须满足，不满足将导致为无效报价。</w:t>
      </w: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1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2008-09-11T17:21:00Z</dcterms:modified>
</cp:coreProperties>
</file>