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t>一、超速离心机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最高转速≥ 100,000 rpm；最大相对离心力≥ 802,000 xg；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转速控制精度: ±2 rpm；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要求采用15寸触幕式液晶显示屏，界面直观，便于操作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要求具备中文操作界面，以方便使用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可以通过iPhone手机或计算机远程监控仪器状态/诊断信息，以实现跨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越实验室对离心机进行远程监控和操作；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仪器可实时记录运行的转速、时间及温度，以便于追踪整个实验过程，使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运行数据符合GMP/GLP标准；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仪器具备转头动态惯量检测(Dynamic Rotor Inertia Check)功能，若发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现有超速情况会自动设至最高允许转速；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仪器可安装HEPA（高效微粒过滤膜），以避免气溶胶的污染，提高生物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安全性；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仪器数字化显示真空度，真空度＜5 Microns(0.7Pa)，并数字化显示该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数值；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目视平衡，样品不平衡容许度≥ ±5 mL或样品体积±10%；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加速/减速选择：≥10档加速/11档减速；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可存储1000个程序，且每个程序可设定30个步骤，以满足实验需求；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离心时间设定范围为999小时59分，或连续运行；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 eXPert离心专家软件内置于主机，具备本机进行实验模拟的功能，并可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将模拟的离心条件直接下载运行；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仪器可本机模拟以下实验过程：</w:t>
      </w:r>
    </w:p>
    <w:p>
      <w:pPr>
        <w:bidi w:val="0"/>
        <w:numPr>
          <w:ilvl w:val="0"/>
          <w:numId w:val="2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颗粒沉降运行</w:t>
      </w:r>
    </w:p>
    <w:p>
      <w:pPr>
        <w:bidi w:val="0"/>
        <w:numPr>
          <w:ilvl w:val="0"/>
          <w:numId w:val="2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速率区带运行</w:t>
      </w:r>
    </w:p>
    <w:p>
      <w:pPr>
        <w:bidi w:val="0"/>
        <w:numPr>
          <w:ilvl w:val="0"/>
          <w:numId w:val="2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质粒最佳分离运行</w:t>
      </w:r>
    </w:p>
    <w:p>
      <w:pPr>
        <w:bidi w:val="0"/>
        <w:numPr>
          <w:ilvl w:val="0"/>
          <w:numId w:val="2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RNA最佳/最快沉降运行</w:t>
      </w:r>
    </w:p>
    <w:p>
      <w:pPr>
        <w:bidi w:val="0"/>
        <w:numPr>
          <w:ilvl w:val="0"/>
          <w:numId w:val="2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替代转头运行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要求具备本机进行各种计算的功能，包括：</w:t>
      </w:r>
    </w:p>
    <w:p>
      <w:pPr>
        <w:bidi w:val="0"/>
        <w:numPr>
          <w:ilvl w:val="0"/>
          <w:numId w:val="3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转头减速计算</w:t>
      </w:r>
    </w:p>
    <w:p>
      <w:pPr>
        <w:bidi w:val="0"/>
        <w:numPr>
          <w:ilvl w:val="0"/>
          <w:numId w:val="3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沉降系数计算</w:t>
      </w:r>
    </w:p>
    <w:p>
      <w:pPr>
        <w:bidi w:val="0"/>
        <w:numPr>
          <w:ilvl w:val="0"/>
          <w:numId w:val="3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沉降时间计算</w:t>
      </w:r>
    </w:p>
    <w:p>
      <w:pPr>
        <w:bidi w:val="0"/>
        <w:numPr>
          <w:ilvl w:val="0"/>
          <w:numId w:val="3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浓度计算</w:t>
      </w:r>
    </w:p>
    <w:p>
      <w:pPr>
        <w:bidi w:val="0"/>
        <w:numPr>
          <w:ilvl w:val="0"/>
          <w:numId w:val="3"/>
        </w:numPr>
        <w:jc w:val="left"/>
        <w:spacing w:lineRule="auto" w:line="360" w:before="0" w:after="0"/>
        <w:pageBreakBefore w:val="0"/>
        <w:ind w:left="709" w:right="0" w:hanging="283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折射率计算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主机具备化学试剂耐受性数据库内置于主机内，便于离心不同样品时离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心管的选择；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具备密码保护功能，要求用户密码锁功能内置于主机软件，并可设置三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个级别，方便仪器管理者对不同的使用者进行权限管理；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区带/连续流操作具备授权功能，以便于对使用者进行权限管理；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区带/连续流操作界面以流程图显示，简单、直观、便于操作；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具备电子签名功能，以便于在运行记录中添加电子签名及备注；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要求离心机主机、转头及离心管由同一厂家生产，以确保仪器的安全使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用；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要求仪器可选配近垂直转头，以在最短时间内得到高纯度的核酸；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可提供g-Max管，以缩短离心时间，提高离心效率；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噪音＜51 dBa；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接通电源但未运行时的能量损耗小于60W，以节省能量损耗；</w:t>
      </w:r>
    </w:p>
    <w:p>
      <w:pPr>
        <w:bidi w:val="0"/>
        <w:numPr>
          <w:ilvl w:val="0"/>
          <w:numId w:val="1"/>
        </w:numPr>
        <w:jc w:val="left"/>
        <w:spacing w:lineRule="auto" w:line="360" w:before="0" w:after="0"/>
        <w:pageBreakBefore w:val="0"/>
        <w:ind w:right="0" w:left="426" w:hanging="426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配置： </w:t>
      </w:r>
    </w:p>
    <w:p>
      <w:pPr>
        <w:bidi w:val="0"/>
        <w:numPr>
          <w:ilvl w:val="0"/>
          <w:numId w:val="4"/>
        </w:numPr>
        <w:jc w:val="left"/>
        <w:spacing w:lineRule="auto" w:line="360" w:before="0" w:after="0"/>
        <w:pageBreakBefore w:val="0"/>
        <w:ind w:left="709" w:right="0" w:hanging="425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主机一台</w:t>
      </w:r>
    </w:p>
    <w:p>
      <w:pPr>
        <w:bidi w:val="0"/>
        <w:numPr>
          <w:ilvl w:val="0"/>
          <w:numId w:val="4"/>
        </w:numPr>
        <w:jc w:val="left"/>
        <w:spacing w:lineRule="auto" w:line="360" w:before="0" w:after="0"/>
        <w:pageBreakBefore w:val="0"/>
        <w:ind w:left="709" w:right="0" w:hanging="425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Type90Ti：最高转速≥ 90,000 rpm，最大相对离心力≥ 694,000 xg，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最大容量≥ 8×13.5 mL，转头k因子≤ 25，钛合金定角转头1个；</w:t>
      </w:r>
    </w:p>
    <w:p>
      <w:pPr>
        <w:bidi w:val="0"/>
        <w:numPr>
          <w:ilvl w:val="0"/>
          <w:numId w:val="4"/>
        </w:numPr>
        <w:jc w:val="left"/>
        <w:spacing w:lineRule="auto" w:line="360" w:before="0" w:after="0"/>
        <w:pageBreakBefore w:val="0"/>
        <w:ind w:left="709" w:right="0" w:hanging="425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Type45Ti：最高转速≥ 45,000 rpm，最大相对离心力≥ 235,000 xg，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最大容量≥ 6×94 mL，转头k因子≤ 133，钛合金定角转头1个；</w:t>
      </w:r>
    </w:p>
    <w:p>
      <w:pPr>
        <w:bidi w:val="0"/>
        <w:numPr>
          <w:ilvl w:val="0"/>
          <w:numId w:val="4"/>
        </w:numPr>
        <w:jc w:val="left"/>
        <w:spacing w:lineRule="auto" w:line="360" w:before="0" w:after="0"/>
        <w:pageBreakBefore w:val="0"/>
        <w:ind w:left="709" w:right="0" w:hanging="425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SW32.1Ti：最高转速≥ 32,000 rpm，最大相对离心力≥ 187,000 xg，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最大容量≥ 6×17 mL，转头k因子≤ 228，钛合金水平转头1个；</w:t>
      </w:r>
    </w:p>
    <w:p>
      <w:pPr>
        <w:bidi w:val="0"/>
        <w:numPr>
          <w:ilvl w:val="0"/>
          <w:numId w:val="4"/>
        </w:numPr>
        <w:jc w:val="left"/>
        <w:spacing w:lineRule="auto" w:line="360" w:before="0" w:after="0"/>
        <w:pageBreakBefore w:val="0"/>
        <w:ind w:left="709" w:right="0" w:hanging="425"/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SW32Ti吊篮：最高转速≥ 32,000 rpm，最大相对离心力≥ 175,000 xg，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最大容量≥ 6×38.5 mL，转头k因子≤ 204，钛合金水平吊篮1套；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200"/>
        <w:pageBreakBefore w:val="0"/>
        <w:ind w:right="0" w:firstLine="0"/>
        <w:rPr>
          <w:rStyle w:val="PO1"/>
          <w:spacing w:val="0"/>
          <w:color w:val="auto"/>
          <w:position w:val="0"/>
          <w:sz w:val="22"/>
          <w:szCs w:val="22"/>
          <w:rFonts w:ascii="Calibri" w:eastAsia="宋体" w:hAnsi="宋体" w:hint="default"/>
        </w:rPr>
        <w:wordWrap w:val="off"/>
        <w:snapToGrid w:val="on"/>
        <w:autoSpaceDE w:val="1"/>
        <w:autoSpaceDN w:val="1"/>
      </w:pPr>
    </w:p>
    <w:p>
      <w:pPr>
        <w:bidi w:val="0"/>
        <w:numPr>
          <w:ilvl w:val="0"/>
          <w:numId w:val="0"/>
        </w:numPr>
        <w:jc w:val="left"/>
        <w:spacing w:lineRule="auto" w:line="276" w:before="0" w:after="200"/>
        <w:pageBreakBefore w:val="0"/>
        <w:ind w:right="0" w:firstLine="0"/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b w:val="1"/>
          <w:color w:val="000000"/>
          <w:position w:val="0"/>
          <w:sz w:val="28"/>
          <w:szCs w:val="28"/>
          <w:rFonts w:ascii="宋体" w:eastAsia="宋体" w:hAnsi="宋体" w:hint="default"/>
        </w:rPr>
        <w:t>二、台式微量离心机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最高转速≥15,000 rpm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最大相对离心力≥20,627 xg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最大容量≥36×1.5/2.0 mL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无碳刷变频电机，微机控制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时间设定：99分钟59秒、连续离心、瞬时离心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>具备加/减速率选择，满足不同的实验需求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温度设定范围为：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-10 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℃</w:t>
      </w: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至 40 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℃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具备10个程序存储功能，方便保存及调用常用的程序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具备不同的加/减速率选择，以满足不同的实验需求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备有PCR排管转头可供选择，且PCR排管转头的最高转速可达到15,000 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rpm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FF0000"/>
          <w:position w:val="0"/>
          <w:sz w:val="24"/>
          <w:szCs w:val="24"/>
          <w:rFonts w:ascii="宋体" w:eastAsia="宋体" w:hAnsi="宋体" w:hint="default"/>
        </w:rPr>
        <w:t>※</w:t>
      </w: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安全可靠：</w:t>
      </w:r>
    </w:p>
    <w:p>
      <w:pPr>
        <w:bidi w:val="0"/>
        <w:numPr>
          <w:ilvl w:val="0"/>
          <w:numId w:val="0"/>
        </w:numPr>
        <w:jc w:val="left"/>
        <w:spacing w:lineRule="auto" w:line="480" w:before="0" w:after="200"/>
        <w:pageBreakBefore w:val="0"/>
        <w:ind w:right="0" w:firstLine="284"/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a）备有生物安全转头FA361.5防止工作人员受样品污染及实验室环境的安全</w:t>
      </w:r>
    </w:p>
    <w:p>
      <w:pPr>
        <w:bidi w:val="0"/>
        <w:numPr>
          <w:ilvl w:val="0"/>
          <w:numId w:val="0"/>
        </w:numPr>
        <w:jc w:val="left"/>
        <w:spacing w:lineRule="auto" w:line="480" w:before="0" w:after="200"/>
        <w:pageBreakBefore w:val="0"/>
        <w:ind w:right="0" w:firstLine="284"/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>b）所有转头都可高温消毒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体积≤ 310×660×291 mm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t xml:space="preserve">重量≥ 32 Kg</w:t>
      </w:r>
    </w:p>
    <w:p>
      <w:pPr>
        <w:bidi w:val="0"/>
        <w:numPr>
          <w:ilvl w:val="0"/>
          <w:numId w:val="5"/>
        </w:numPr>
        <w:jc w:val="left"/>
        <w:spacing w:lineRule="auto" w:line="480" w:before="0" w:after="0"/>
        <w:pageBreakBefore w:val="0"/>
        <w:ind w:right="0" w:left="360" w:hanging="360"/>
        <w:tabs>
          <w:tab w:val="left" w:pos="360"/>
        </w:tabs>
        <w:rPr>
          <w:rStyle w:val="PO1"/>
          <w:spacing w:val="0"/>
          <w:color w:val="auto"/>
          <w:position w:val="0"/>
          <w:sz w:val="24"/>
          <w:szCs w:val="24"/>
          <w:rFonts w:ascii="Calibri" w:eastAsia="宋体" w:hAnsi="宋体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4"/>
          <w:szCs w:val="24"/>
          <w:rFonts w:ascii="宋体" w:eastAsia="宋体" w:hAnsi="宋体" w:hint="default"/>
        </w:rPr>
        <w:t xml:space="preserve">热量输出≤ 420W</w:t>
      </w:r>
    </w:p>
    <w:p>
      <w:pPr>
        <w:bidi w:val="0"/>
        <w:numPr>
          <w:ilvl w:val="0"/>
          <w:numId w:val="0"/>
        </w:numPr>
        <w:jc w:val="left"/>
        <w:spacing w:lineRule="auto" w:line="276" w:before="0" w:after="200"/>
        <w:pageBreakBefore w:val="0"/>
        <w:ind w:right="0" w:firstLine="0"/>
        <w:rPr>
          <w:color w:val="auto"/>
          <w:position w:val="0"/>
          <w:sz w:val="22"/>
          <w:szCs w:val="22"/>
          <w:rFonts w:ascii="Tahoma" w:eastAsia="Tahoma" w:hAnsi="Tahoma" w:hint="default"/>
        </w:rPr>
        <w:wordWrap w:val="off"/>
        <w:snapToGrid w:val="on"/>
        <w:autoSpaceDE w:val="1"/>
        <w:autoSpaceDN w:val="1"/>
      </w:pPr>
      <w:r>
        <w:rPr>
          <w:rStyle w:val="PO1"/>
          <w:spacing w:val="0"/>
          <w:color w:val="auto"/>
          <w:position w:val="0"/>
          <w:sz w:val="22"/>
          <w:szCs w:val="22"/>
          <w:rFonts w:ascii="Calibri" w:eastAsia="宋体" w:hAnsi="宋体" w:hint="default"/>
        </w:rPr>
        <w:t>注：星号项必须满足，否则投标无效，中标者需提供商品正规渠道授权。</w:t>
      </w: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tab"/>
      <w:pPr>
        <w:autoSpaceDE w:val="1"/>
        <w:autoSpaceDN w:val="1"/>
        <w:ind w:left="3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sz w:val="24"/>
        <w:szCs w:val="24"/>
        <w:w w:val="100"/>
      </w:rPr>
      <w:lvlText w:val="%1."/>
    </w:lvl>
    <w:lvl w:ilvl="1">
      <w:lvlJc w:val="left"/>
      <w:numFmt w:val="lowerLetter"/>
      <w:start w:val="1"/>
      <w:suff w:val="tab"/>
      <w:pPr>
        <w:autoSpaceDE w:val="1"/>
        <w:autoSpaceDN w:val="1"/>
        <w:ind w:left="14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."/>
    </w:lvl>
    <w:lvl w:ilvl="2">
      <w:lvlJc w:val="right"/>
      <w:numFmt w:val="lowerRoman"/>
      <w:start w:val="1"/>
      <w:suff w:val="tab"/>
      <w:pPr>
        <w:autoSpaceDE w:val="1"/>
        <w:autoSpaceDN w:val="1"/>
        <w:ind w:left="216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88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360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."/>
    </w:lvl>
    <w:lvl w:ilvl="5">
      <w:lvlJc w:val="right"/>
      <w:numFmt w:val="lowerRoman"/>
      <w:start w:val="1"/>
      <w:suff w:val="tab"/>
      <w:pPr>
        <w:autoSpaceDE w:val="1"/>
        <w:autoSpaceDN w:val="1"/>
        <w:ind w:left="432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50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57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."/>
    </w:lvl>
    <w:lvl w:ilvl="8">
      <w:lvlJc w:val="right"/>
      <w:numFmt w:val="lowerRoman"/>
      <w:start w:val="1"/>
      <w:suff w:val="tab"/>
      <w:pPr>
        <w:autoSpaceDE w:val="1"/>
        <w:autoSpaceDN w:val="1"/>
        <w:ind w:left="648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lowerLetter"/>
      <w:start w:val="1"/>
      <w:suff w:val="tab"/>
      <w:pPr>
        <w:autoSpaceDE w:val="1"/>
        <w:autoSpaceDN w:val="1"/>
        <w:ind w:left="3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sz w:val="24"/>
        <w:szCs w:val="24"/>
        <w:w w:val="100"/>
      </w:rPr>
      <w:lvlText w:val="%1)"/>
    </w:lvl>
    <w:lvl w:ilvl="1">
      <w:lvlJc w:val="left"/>
      <w:numFmt w:val="lowerLetter"/>
      <w:start w:val="1"/>
      <w:suff w:val="tab"/>
      <w:pPr>
        <w:autoSpaceDE w:val="1"/>
        <w:autoSpaceDN w:val="1"/>
        <w:ind w:left="14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."/>
    </w:lvl>
    <w:lvl w:ilvl="2">
      <w:lvlJc w:val="right"/>
      <w:numFmt w:val="lowerRoman"/>
      <w:start w:val="1"/>
      <w:suff w:val="tab"/>
      <w:pPr>
        <w:autoSpaceDE w:val="1"/>
        <w:autoSpaceDN w:val="1"/>
        <w:ind w:left="216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88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360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."/>
    </w:lvl>
    <w:lvl w:ilvl="5">
      <w:lvlJc w:val="right"/>
      <w:numFmt w:val="lowerRoman"/>
      <w:start w:val="1"/>
      <w:suff w:val="tab"/>
      <w:pPr>
        <w:autoSpaceDE w:val="1"/>
        <w:autoSpaceDN w:val="1"/>
        <w:ind w:left="432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50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57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."/>
    </w:lvl>
    <w:lvl w:ilvl="8">
      <w:lvlJc w:val="right"/>
      <w:numFmt w:val="lowerRoman"/>
      <w:start w:val="1"/>
      <w:suff w:val="tab"/>
      <w:pPr>
        <w:autoSpaceDE w:val="1"/>
        <w:autoSpaceDN w:val="1"/>
        <w:ind w:left="648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lowerLetter"/>
      <w:start w:val="1"/>
      <w:suff w:val="tab"/>
      <w:pPr>
        <w:autoSpaceDE w:val="1"/>
        <w:autoSpaceDN w:val="1"/>
        <w:ind w:left="3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sz w:val="24"/>
        <w:szCs w:val="24"/>
        <w:w w:val="100"/>
      </w:rPr>
      <w:lvlText w:val="%1)"/>
    </w:lvl>
    <w:lvl w:ilvl="1">
      <w:lvlJc w:val="left"/>
      <w:numFmt w:val="lowerLetter"/>
      <w:start w:val="1"/>
      <w:suff w:val="tab"/>
      <w:pPr>
        <w:autoSpaceDE w:val="1"/>
        <w:autoSpaceDN w:val="1"/>
        <w:ind w:left="14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."/>
    </w:lvl>
    <w:lvl w:ilvl="2">
      <w:lvlJc w:val="right"/>
      <w:numFmt w:val="lowerRoman"/>
      <w:start w:val="1"/>
      <w:suff w:val="tab"/>
      <w:pPr>
        <w:autoSpaceDE w:val="1"/>
        <w:autoSpaceDN w:val="1"/>
        <w:ind w:left="216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88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360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."/>
    </w:lvl>
    <w:lvl w:ilvl="5">
      <w:lvlJc w:val="right"/>
      <w:numFmt w:val="lowerRoman"/>
      <w:start w:val="1"/>
      <w:suff w:val="tab"/>
      <w:pPr>
        <w:autoSpaceDE w:val="1"/>
        <w:autoSpaceDN w:val="1"/>
        <w:ind w:left="432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50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57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."/>
    </w:lvl>
    <w:lvl w:ilvl="8">
      <w:lvlJc w:val="right"/>
      <w:numFmt w:val="lowerRoman"/>
      <w:start w:val="1"/>
      <w:suff w:val="tab"/>
      <w:pPr>
        <w:autoSpaceDE w:val="1"/>
        <w:autoSpaceDN w:val="1"/>
        <w:ind w:left="648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autoSpaceDE w:val="1"/>
        <w:autoSpaceDN w:val="1"/>
        <w:ind w:left="72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sz w:val="24"/>
        <w:szCs w:val="24"/>
        <w:w w:val="100"/>
      </w:rPr>
      <w:lvlText w:val="%1)"/>
    </w:lvl>
    <w:lvl w:ilvl="1">
      <w:lvlJc w:val="left"/>
      <w:numFmt w:val="lowerLetter"/>
      <w:start w:val="1"/>
      <w:suff w:val="tab"/>
      <w:pPr>
        <w:autoSpaceDE w:val="1"/>
        <w:autoSpaceDN w:val="1"/>
        <w:ind w:left="14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2."/>
    </w:lvl>
    <w:lvl w:ilvl="2">
      <w:lvlJc w:val="right"/>
      <w:numFmt w:val="lowerRoman"/>
      <w:start w:val="1"/>
      <w:suff w:val="tab"/>
      <w:pPr>
        <w:autoSpaceDE w:val="1"/>
        <w:autoSpaceDN w:val="1"/>
        <w:ind w:left="216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88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360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5."/>
    </w:lvl>
    <w:lvl w:ilvl="5">
      <w:lvlJc w:val="right"/>
      <w:numFmt w:val="lowerRoman"/>
      <w:start w:val="1"/>
      <w:suff w:val="tab"/>
      <w:pPr>
        <w:autoSpaceDE w:val="1"/>
        <w:autoSpaceDN w:val="1"/>
        <w:ind w:left="432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504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5760" w:hanging="36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8."/>
    </w:lvl>
    <w:lvl w:ilvl="8">
      <w:lvlJc w:val="right"/>
      <w:numFmt w:val="lowerRoman"/>
      <w:start w:val="1"/>
      <w:suff w:val="tab"/>
      <w:pPr>
        <w:autoSpaceDE w:val="1"/>
        <w:autoSpaceDN w:val="1"/>
        <w:ind w:left="6480" w:hanging="180"/>
        <w:kinsoku/>
        <w:overflowPunct/>
        <w:pageBreakBefore w:val="0"/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autoSpaceDE w:val="1"/>
        <w:autoSpaceDN w:val="1"/>
        <w:ind w:left="360" w:hanging="360"/>
        <w:kinsoku/>
        <w:overflowPunct/>
        <w:pageBreakBefore w:val="0"/>
        <w:tabs>
          <w:tab w:val="left" w:pos="360"/>
        </w:tabs>
        <w:textAlignment w:val="baseline"/>
        <w:widowControl/>
      </w:pPr>
      <w:rPr>
        <w:rFonts w:ascii="Calibri" w:eastAsia="宋体" w:hAnsi="Calibri"/>
        <w:rStyle w:val="PO1"/>
        <w:sz w:val="24"/>
        <w:szCs w:val="24"/>
        <w:w w:val="100"/>
      </w:rPr>
      <w:lvlText w:val="%1."/>
    </w:lvl>
    <w:lvl w:ilvl="1">
      <w:lvlJc w:val="left"/>
      <w:numFmt w:val="lowerLetter"/>
      <w:start w:val="1"/>
      <w:suff w:val="tab"/>
      <w:pPr>
        <w:autoSpaceDE w:val="1"/>
        <w:autoSpaceDN w:val="1"/>
        <w:ind w:left="1080" w:hanging="360"/>
        <w:kinsoku/>
        <w:overflowPunct/>
        <w:pageBreakBefore w:val="0"/>
        <w:tabs>
          <w:tab w:val="left" w:pos="10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2."/>
    </w:lvl>
    <w:lvl w:ilvl="2">
      <w:lvlJc w:val="right"/>
      <w:numFmt w:val="lowerRoman"/>
      <w:start w:val="1"/>
      <w:suff w:val="tab"/>
      <w:pPr>
        <w:autoSpaceDE w:val="1"/>
        <w:autoSpaceDN w:val="1"/>
        <w:ind w:left="1800" w:hanging="180"/>
        <w:kinsoku/>
        <w:overflowPunct/>
        <w:pageBreakBefore w:val="0"/>
        <w:tabs>
          <w:tab w:val="left" w:pos="18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3."/>
    </w:lvl>
    <w:lvl w:ilvl="3">
      <w:lvlJc w:val="left"/>
      <w:numFmt w:val="decimal"/>
      <w:start w:val="1"/>
      <w:suff w:val="tab"/>
      <w:pPr>
        <w:autoSpaceDE w:val="1"/>
        <w:autoSpaceDN w:val="1"/>
        <w:ind w:left="2520" w:hanging="360"/>
        <w:kinsoku/>
        <w:overflowPunct/>
        <w:pageBreakBefore w:val="0"/>
        <w:tabs>
          <w:tab w:val="left" w:pos="25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4."/>
    </w:lvl>
    <w:lvl w:ilvl="4">
      <w:lvlJc w:val="left"/>
      <w:numFmt w:val="lowerLetter"/>
      <w:start w:val="1"/>
      <w:suff w:val="tab"/>
      <w:pPr>
        <w:autoSpaceDE w:val="1"/>
        <w:autoSpaceDN w:val="1"/>
        <w:ind w:left="3240" w:hanging="360"/>
        <w:kinsoku/>
        <w:overflowPunct/>
        <w:pageBreakBefore w:val="0"/>
        <w:tabs>
          <w:tab w:val="left" w:pos="324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5."/>
    </w:lvl>
    <w:lvl w:ilvl="5">
      <w:lvlJc w:val="right"/>
      <w:numFmt w:val="lowerRoman"/>
      <w:start w:val="1"/>
      <w:suff w:val="tab"/>
      <w:pPr>
        <w:autoSpaceDE w:val="1"/>
        <w:autoSpaceDN w:val="1"/>
        <w:ind w:left="3960" w:hanging="180"/>
        <w:kinsoku/>
        <w:overflowPunct/>
        <w:pageBreakBefore w:val="0"/>
        <w:tabs>
          <w:tab w:val="left" w:pos="396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6."/>
    </w:lvl>
    <w:lvl w:ilvl="6">
      <w:lvlJc w:val="left"/>
      <w:numFmt w:val="decimal"/>
      <w:start w:val="1"/>
      <w:suff w:val="tab"/>
      <w:pPr>
        <w:autoSpaceDE w:val="1"/>
        <w:autoSpaceDN w:val="1"/>
        <w:ind w:left="4680" w:hanging="360"/>
        <w:kinsoku/>
        <w:overflowPunct/>
        <w:pageBreakBefore w:val="0"/>
        <w:tabs>
          <w:tab w:val="left" w:pos="468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7."/>
    </w:lvl>
    <w:lvl w:ilvl="7">
      <w:lvlJc w:val="left"/>
      <w:numFmt w:val="lowerLetter"/>
      <w:start w:val="1"/>
      <w:suff w:val="tab"/>
      <w:pPr>
        <w:autoSpaceDE w:val="1"/>
        <w:autoSpaceDN w:val="1"/>
        <w:ind w:left="5400" w:hanging="360"/>
        <w:kinsoku/>
        <w:overflowPunct/>
        <w:pageBreakBefore w:val="0"/>
        <w:tabs>
          <w:tab w:val="left" w:pos="540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8."/>
    </w:lvl>
    <w:lvl w:ilvl="8">
      <w:lvlJc w:val="right"/>
      <w:numFmt w:val="lowerRoman"/>
      <w:start w:val="1"/>
      <w:suff w:val="tab"/>
      <w:pPr>
        <w:autoSpaceDE w:val="1"/>
        <w:autoSpaceDN w:val="1"/>
        <w:ind w:left="6120" w:hanging="180"/>
        <w:kinsoku/>
        <w:overflowPunct/>
        <w:pageBreakBefore w:val="0"/>
        <w:tabs>
          <w:tab w:val="left" w:pos="6120"/>
        </w:tabs>
        <w:textAlignment w:val="baseline"/>
        <w:widowControl/>
      </w:pPr>
      <w:rPr>
        <w:rFonts w:ascii="宋体" w:eastAsia="宋体" w:hAnsi="宋体"/>
        <w:rStyle w:val="PO1"/>
        <w:w w:val="100"/>
      </w:rPr>
      <w:lvlText w:val="%9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</Lines>
  <LinksUpToDate>false</LinksUpToDate>
  <Pages>3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terms:modified xsi:type="dcterms:W3CDTF">2008-09-11T17:21:00Z</dcterms:modified>
</cp:coreProperties>
</file>