
<file path=[Content_Types].xml><?xml version="1.0" encoding="utf-8"?>
<Types xmlns="http://schemas.openxmlformats.org/package/2006/content-types">
  <Default Extension="wmf" ContentType="image/x-w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651" w:firstLine="0"/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t>一．真空环境样品台（含探针模块）技术规格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651" w:firstLine="0"/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t xml:space="preserve">1 真空环境样品台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1.1 真空样品台可以安装在指定扫描电镜中，设计紧凑，长、宽不大于35mm, 高不高于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 16mm,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1.2 真空环境样品台具有XYZ三个移动自由度，XY移动范围不小于10mm, Z 移动范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围不大于3mm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1.3 真空样品台XYZ三方向步进精度： XYZ &lt; 0.5 nm。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1.4 XYZ最大速度可达1 mm/s。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1.5 提供真空环境样品台在SEM内安装方案设计、安装连接件的加工以及模块的安装调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试。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1.6 样品承载大于50g，提升重量大于25g，最大承载样品尺寸可达25mm*25mm。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651" w:firstLine="0"/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t>2.探针模块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 探针模块安装在SEM样品室内，可以在观察纳米线及粒子的同时实现操纵。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2.2 探针模块中应包含至少两个探针，且每个探针都可以单独或者可以任意组合安装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在电镜内或者样品室壁上，也可以在大气环境下与光学显微镜配合使用，备有大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气环境下使用的连接件。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2.3 提供探针模块在SEM内安装方案设计、安装连接件的加工以及模块的安装调试，探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针模块安装方式不影响电镜样品台的XYZR的运动。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2.4 探针模块中的探针均为全压电驱动方式，在电镜观测的整个过程中高精度地移动，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无反向的后坐力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2.5 在X(水平)、Y(垂直)、Z(轴向)三个方向上可任意角度靠近样品。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2.6 确保进行纳米和微米级移动和厘米级的工作范围。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2.7 操作和控制可通过外接操控杆、控制器手动按扭、软件等分别进行所有功能的操作，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提供相应软件接口，以便对软件进行二次开发。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2.8 探针模块中的每个探针的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最小步进</w:t>
      </w:r>
      <w:r>
        <w:rPr>
          <w:rStyle w:val="PO1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>精度指标：Z：优于0.5nm；X：优于5nm；Y：</w:t>
      </w:r>
      <w:r>
        <w:rPr>
          <w:rStyle w:val="PO1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>优于3.5nm。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tabs>
          <w:tab w:val="left" w:pos="542"/>
        </w:tabs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2.9 探针模块移动范围（X/Y方向）最大可至100mm；Z轴延展最大距离可至12mm。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2.10 X轴Y轴移动最大速率10mm/s；Z轴移动最大速率2mm/s。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2.11 探针末端承受力大于1N，承受转矩3-4Nmm。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2.12漂移小于1nm/Min。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b w:val="1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2.13 探针模块包括两套微弱电路检测装置，可进行微弱电流的探测</w:t>
      </w: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Times New Roman" w:eastAsia="宋体" w:hAnsi="宋体" w:hint="default"/>
        </w:rPr>
        <w:t>，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最小极限可探测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电流0.2pA，最大电流：200mA，最大电压：±210V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2.14 控制器具备如下的模式：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导入用户自定义模式；切换控制模式；用户自定义模式；操纵杆定义；操纵杆镜像定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义；振幅修正；速度调整；频率调整；震动逼近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0"/>
        <w:autoSpaceDN w:val="0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2.15 探针模块中包含一套第四自由度绕臂旋转，旋转行程为360度，分辨率为0.1度，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转矩0.01mNm，此功能可以和探针联合在扫描电镜中使用。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840" w:right="0" w:hanging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2.16 探针模块中带有气体注入增强功能插件。材料容量体积0.5cm</w:t>
      </w:r>
      <w:r>
        <w:rPr>
          <w:rStyle w:val="PO1"/>
          <w:spacing w:val="0"/>
          <w:vertAlign w:val="superscript"/>
          <w:color w:val="auto"/>
          <w:position w:val="0"/>
          <w:sz w:val="21"/>
          <w:szCs w:val="21"/>
          <w:rFonts w:ascii="Times New Roman" w:eastAsia="宋体" w:hAnsi="宋体" w:hint="default"/>
        </w:rPr>
        <w:t>3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，最大加热温度90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摄氏度。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651" w:firstLine="0"/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>二</w:t>
      </w:r>
      <w:r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t>．工作条件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567" w:right="651" w:firstLine="0"/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1 电源：220 V</w:t>
      </w:r>
      <w:r>
        <w:rPr>
          <w:sz w:val="20"/>
        </w:rPr>
        <w:object>
          <v:shapetype id="_x0000_t75" coordsize="21600,21600" o:spt="75" o:preferrelative="t" path="m@4@5l@4@11@9@11@9@5xe" fill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9" type="#_x0000_t75" style="position:static;width:11.0pt;height:12.0pt;z-index:251624960" o:ole="" filled="t" o:bordertopcolor="black" o:borderleftcolor="black" o:borderbottomcolor="black" o:borderrightcolor="black">
            <v:imagedata r:id="rId5" o:title=" "/>
            <w10:bordertop type="single" width="0"/>
            <w10:borderleft type="single" width="0"/>
            <w10:borderbottom type="single" width="0"/>
            <w10:borderright type="single" width="0"/>
            <w10:wrap type="none"/>
            <w10:anchorlock/>
          </v:shape>
        </w:object>
      </w:r>
      <w:r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10 %，50 Hz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567" w:right="651" w:firstLine="0"/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2 环境条件：室温：17℃ ~ 25℃      相对湿度：</w:t>
      </w:r>
      <w:r>
        <w:rPr>
          <w:sz w:val="20"/>
        </w:rPr>
        <w:object>
          <v:shapetype id="_x0000_t75" coordsize="21600,21600" o:spt="75" o:preferrelative="t" path="m@4@5l@4@11@9@11@9@5xe" fill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" type="#_x0000_t75" style="position:static;width:9.9pt;height:12.0pt;z-index:251624961" o:ole="" filled="t" o:bordertopcolor="black" o:borderleftcolor="black" o:borderbottomcolor="black" o:borderrightcolor="black">
            <v:imagedata r:id="rId6" o:title=" "/>
            <w10:bordertop type="single" width="0"/>
            <w10:borderleft type="single" width="0"/>
            <w10:borderbottom type="single" width="0"/>
            <w10:borderright type="single" width="0"/>
            <w10:wrap type="none"/>
            <w10:anchorlock/>
          </v:shape>
        </w:object>
      </w:r>
      <w:r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65 %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567" w:right="651" w:firstLine="0"/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000000"/>
          <w:position w:val="0"/>
          <w:sz w:val="21"/>
          <w:szCs w:val="21"/>
          <w:rFonts w:ascii="Times New Roman" w:eastAsia="宋体" w:hAnsi="宋体" w:hint="default"/>
        </w:rPr>
        <w:t xml:space="preserve">3 可连续运行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651" w:firstLine="0"/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b w:val="1"/>
          <w:color w:val="000000"/>
          <w:position w:val="0"/>
          <w:sz w:val="24"/>
          <w:szCs w:val="24"/>
          <w:rFonts w:ascii="Times New Roman" w:eastAsia="宋体" w:hAnsi="宋体" w:hint="default"/>
        </w:rPr>
        <w:t>三．服务要求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1050" w:right="651" w:hanging="420"/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1货物运抵现场后，双方根据装箱文件进行开箱，仅对数量及外观质量进行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检查。安装调试后，设备的各种性能参数应符合投标文件/合同中的规定,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且经买方认可的各项技术指标要求。经验收合格后投入使用。经检测和实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验证明设备已达到合同规定的技术指标后，双方应在一周内签署验收文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件，设备即视为验收通过。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1050" w:right="651" w:hanging="420"/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2安装、调试过程中，安装工程师有义务对用户讲解仪器的操作及注意事项，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对用户提出的问题安装工程师须认真给予正确完整的讲解和回答；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1050" w:right="651" w:hanging="420"/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3 人员培训：卖方在仪器设备的性能、原理、操作要领、设备维修和保养等方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面对买方的2名操作人员进行免费的理论和实际操作的培训。包括测试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和检验操作，维修保养等以及简易的故障判别及排除，为期1-2天。安装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调试1天。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651" w:firstLine="630"/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4仪器维修：仪器自验收签字之日起，免费保修期1年。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left="1050" w:right="651" w:hanging="420"/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5卖方保证长期、优惠、及时提供零备件和优质、优惠的维修服务，在硬件允</w:t>
      </w:r>
      <w:r>
        <w:rPr>
          <w:rStyle w:val="PO158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 xml:space="preserve">许的情况下，提供软件终生升级。 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contextualSpacing w:val="1"/>
        <w:ind w:right="651" w:firstLine="0"/>
        <w:rPr>
          <w:rStyle w:val="PO1"/>
          <w:spacing w:val="0"/>
          <w:b w:val="1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auto"/>
          <w:position w:val="0"/>
          <w:sz w:val="21"/>
          <w:szCs w:val="21"/>
          <w:rFonts w:ascii="Times New Roman" w:eastAsia="宋体" w:hAnsi="宋体" w:hint="default"/>
        </w:rPr>
        <w:t>四、交货时间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contextualSpacing w:val="1"/>
        <w:ind w:right="651" w:firstLine="42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收到100%信用证后的4个月内到货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contextualSpacing w:val="1"/>
        <w:ind w:right="651" w:firstLine="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注：本章中“</w:t>
      </w: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”号指标为重要技术参数,必须满足指标，如不满足“</w:t>
      </w:r>
      <w:r>
        <w:rPr>
          <w:rStyle w:val="PO1"/>
          <w:spacing w:val="0"/>
          <w:color w:val="auto"/>
          <w:position w:val="0"/>
          <w:sz w:val="21"/>
          <w:szCs w:val="21"/>
          <w:rFonts w:ascii="Segoe UI Symbol" w:eastAsia="宋体" w:hAnsi="宋体" w:hint="default"/>
        </w:rPr>
        <w:t>★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”号指标，其投</w:t>
      </w:r>
      <w:r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t>标将被拒绝。</w:t>
      </w:r>
    </w:p>
    <w:p>
      <w:pPr>
        <w:bidi w:val="0"/>
        <w:numPr>
          <w:ilvl w:val="0"/>
          <w:numId w:val="0"/>
        </w:numPr>
        <w:jc w:val="both"/>
        <w:spacing w:lineRule="auto" w:line="360" w:before="0" w:after="0"/>
        <w:pageBreakBefore w:val="0"/>
        <w:ind w:right="0" w:left="478" w:hanging="478"/>
        <w:rPr>
          <w:color w:val="auto"/>
          <w:position w:val="0"/>
          <w:sz w:val="22"/>
          <w:szCs w:val="22"/>
          <w:rFonts w:ascii="Tahoma" w:eastAsia="Tahoma" w:hAnsi="Tahoma" w:hint="default"/>
        </w:rPr>
        <w:wordWrap w:val="off"/>
        <w:snapToGrid w:val="on"/>
        <w:autoSpaceDE w:val="1"/>
        <w:autoSpaceDN w:val="1"/>
      </w:pPr>
      <w:r>
        <w:rPr>
          <w:rStyle w:val="PO160"/>
          <w:spacing w:val="0"/>
          <w:b w:val="1"/>
          <w:color w:val="auto"/>
          <w:position w:val="0"/>
          <w:sz w:val="28"/>
          <w:szCs w:val="28"/>
          <w:rFonts w:ascii="Times New Roman" w:eastAsia="宋体" w:hAnsi="宋体" w:hint="default"/>
        </w:rPr>
        <w:t xml:space="preserve"> </w:t>
      </w: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 Symbo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53941.wmf"></Relationship><Relationship Id="rId6" Type="http://schemas.openxmlformats.org/officeDocument/2006/relationships/image" Target="media/fImage252108467.wmf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2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2008-09-11T17:21:00Z</dcterms:modified>
</cp:coreProperties>
</file>