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Default="0092748A">
      <w:pPr>
        <w:snapToGrid w:val="0"/>
        <w:spacing w:line="312" w:lineRule="auto"/>
        <w:jc w:val="center"/>
        <w:outlineLvl w:val="0"/>
        <w:rPr>
          <w:rFonts w:ascii="Times New Roman" w:eastAsia="Times New Roman" w:hAnsi="Times New Roman"/>
          <w:sz w:val="31"/>
          <w:szCs w:val="31"/>
        </w:rPr>
      </w:pPr>
      <w:r>
        <w:rPr>
          <w:rFonts w:ascii="Times New Roman" w:eastAsia="Times New Roman" w:hAnsi="Times New Roman"/>
          <w:sz w:val="31"/>
          <w:szCs w:val="31"/>
        </w:rPr>
        <w:t>技术规格及要求</w:t>
      </w:r>
    </w:p>
    <w:p w:rsidR="00BE000F" w:rsidRDefault="00BE000F">
      <w:pPr>
        <w:snapToGrid w:val="0"/>
        <w:spacing w:line="312" w:lineRule="auto"/>
        <w:jc w:val="center"/>
        <w:outlineLvl w:val="0"/>
        <w:rPr>
          <w:rFonts w:ascii="Times New Roman" w:eastAsia="Times New Roman" w:hAnsi="Times New Roman"/>
          <w:sz w:val="31"/>
          <w:szCs w:val="31"/>
        </w:rPr>
      </w:pPr>
    </w:p>
    <w:p w:rsidR="00CC3107" w:rsidRDefault="00CC3107" w:rsidP="00CC3107">
      <w:pPr>
        <w:spacing w:line="360" w:lineRule="auto"/>
        <w:jc w:val="center"/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基于对海信息获取的大数据海图平台</w:t>
      </w:r>
      <w:r w:rsidRPr="00D628FA">
        <w:rPr>
          <w:rFonts w:ascii="Times New Roman" w:hAnsi="Times New Roman" w:hint="eastAsia"/>
          <w:b/>
          <w:sz w:val="32"/>
          <w:szCs w:val="32"/>
        </w:rPr>
        <w:t>招标要求</w:t>
      </w:r>
    </w:p>
    <w:p w:rsidR="00CC3107" w:rsidRDefault="00CC3107" w:rsidP="00CC3107">
      <w:pPr>
        <w:tabs>
          <w:tab w:val="left" w:pos="432"/>
          <w:tab w:val="left" w:pos="567"/>
        </w:tabs>
        <w:spacing w:beforeLines="50" w:afterLines="50"/>
        <w:ind w:rightChars="-225" w:right="-473"/>
        <w:rPr>
          <w:rFonts w:ascii="Times New Roman" w:hAnsi="Times New Roman"/>
          <w:b/>
          <w:sz w:val="24"/>
        </w:rPr>
      </w:pPr>
      <w:r w:rsidRPr="00B853EF">
        <w:rPr>
          <w:rStyle w:val="2Char"/>
          <w:rFonts w:ascii="Times New Roman" w:hAnsi="Times New Roman"/>
          <w:sz w:val="24"/>
        </w:rPr>
        <w:t>一、招标设备</w:t>
      </w:r>
      <w:r>
        <w:rPr>
          <w:rStyle w:val="2Char"/>
          <w:rFonts w:ascii="Times New Roman" w:hAnsi="Times New Roman"/>
          <w:sz w:val="24"/>
        </w:rPr>
        <w:t>组成</w:t>
      </w:r>
      <w:r w:rsidRPr="00B853EF">
        <w:rPr>
          <w:rStyle w:val="2Char"/>
          <w:rFonts w:ascii="Times New Roman" w:hAnsi="Times New Roman"/>
          <w:sz w:val="24"/>
        </w:rPr>
        <w:t>名称及数量</w:t>
      </w:r>
      <w:r>
        <w:rPr>
          <w:rFonts w:ascii="Times New Roman" w:hAnsi="Times New Roman"/>
          <w:b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2146"/>
        <w:gridCol w:w="2061"/>
        <w:gridCol w:w="2168"/>
      </w:tblGrid>
      <w:tr w:rsidR="00CC3107" w:rsidRPr="00557C9F" w:rsidTr="00E45C09">
        <w:trPr>
          <w:jc w:val="center"/>
        </w:trPr>
        <w:tc>
          <w:tcPr>
            <w:tcW w:w="125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 w:hint="eastAsia"/>
                <w:b/>
                <w:bCs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b/>
                <w:bCs/>
                <w:sz w:val="24"/>
                <w:szCs w:val="20"/>
              </w:rPr>
              <w:t>序号</w:t>
            </w:r>
          </w:p>
        </w:tc>
        <w:tc>
          <w:tcPr>
            <w:tcW w:w="125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b/>
                <w:bCs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b/>
                <w:bCs/>
                <w:sz w:val="24"/>
                <w:szCs w:val="20"/>
              </w:rPr>
              <w:t>名称</w:t>
            </w:r>
          </w:p>
        </w:tc>
        <w:tc>
          <w:tcPr>
            <w:tcW w:w="120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b/>
                <w:bCs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b/>
                <w:bCs/>
                <w:sz w:val="24"/>
                <w:szCs w:val="20"/>
              </w:rPr>
              <w:t>数量</w:t>
            </w:r>
          </w:p>
        </w:tc>
        <w:tc>
          <w:tcPr>
            <w:tcW w:w="1272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b/>
                <w:bCs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b/>
                <w:bCs/>
                <w:sz w:val="24"/>
                <w:szCs w:val="20"/>
              </w:rPr>
              <w:t>价格</w:t>
            </w:r>
          </w:p>
        </w:tc>
      </w:tr>
      <w:tr w:rsidR="00CC3107" w:rsidRPr="00557C9F" w:rsidTr="00E45C09">
        <w:trPr>
          <w:jc w:val="center"/>
        </w:trPr>
        <w:tc>
          <w:tcPr>
            <w:tcW w:w="1259" w:type="pct"/>
            <w:shd w:val="clear" w:color="auto" w:fill="auto"/>
            <w:vAlign w:val="center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1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CC3107" w:rsidRPr="00557C9F" w:rsidRDefault="00CC3107" w:rsidP="00E45C09">
            <w:pPr>
              <w:spacing w:line="500" w:lineRule="exact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/>
                <w:sz w:val="24"/>
                <w:szCs w:val="20"/>
              </w:rPr>
              <w:t>高性能图像工作站</w:t>
            </w:r>
          </w:p>
        </w:tc>
        <w:tc>
          <w:tcPr>
            <w:tcW w:w="120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1台</w:t>
            </w:r>
          </w:p>
        </w:tc>
        <w:tc>
          <w:tcPr>
            <w:tcW w:w="1272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包含在合同价格中</w:t>
            </w:r>
          </w:p>
        </w:tc>
      </w:tr>
      <w:tr w:rsidR="00CC3107" w:rsidRPr="00557C9F" w:rsidTr="00E45C09">
        <w:trPr>
          <w:jc w:val="center"/>
        </w:trPr>
        <w:tc>
          <w:tcPr>
            <w:tcW w:w="1259" w:type="pct"/>
            <w:shd w:val="clear" w:color="auto" w:fill="auto"/>
            <w:vAlign w:val="center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2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CC3107" w:rsidRPr="00557C9F" w:rsidRDefault="00CC3107" w:rsidP="00E45C09">
            <w:pPr>
              <w:spacing w:line="500" w:lineRule="exact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/>
                <w:sz w:val="24"/>
                <w:szCs w:val="20"/>
              </w:rPr>
              <w:t>基于</w:t>
            </w:r>
            <w:r w:rsidRPr="00557C9F">
              <w:rPr>
                <w:rFonts w:ascii="宋体" w:hAnsi="宋体" w:cs="仿宋" w:hint="eastAsia"/>
                <w:sz w:val="24"/>
                <w:szCs w:val="20"/>
              </w:rPr>
              <w:t>Linux系统的矢量海图开发工具</w:t>
            </w:r>
          </w:p>
        </w:tc>
        <w:tc>
          <w:tcPr>
            <w:tcW w:w="120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1套</w:t>
            </w:r>
          </w:p>
        </w:tc>
        <w:tc>
          <w:tcPr>
            <w:tcW w:w="1272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包含在合同价格中</w:t>
            </w:r>
          </w:p>
        </w:tc>
      </w:tr>
      <w:tr w:rsidR="00CC3107" w:rsidRPr="00557C9F" w:rsidTr="00E45C09">
        <w:trPr>
          <w:jc w:val="center"/>
        </w:trPr>
        <w:tc>
          <w:tcPr>
            <w:tcW w:w="1259" w:type="pct"/>
            <w:shd w:val="clear" w:color="auto" w:fill="auto"/>
            <w:vAlign w:val="center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3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CC3107" w:rsidRPr="00557C9F" w:rsidRDefault="00CC3107" w:rsidP="00E45C09">
            <w:pPr>
              <w:spacing w:line="500" w:lineRule="exact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/>
                <w:sz w:val="24"/>
                <w:szCs w:val="20"/>
              </w:rPr>
              <w:t>我国领海小比例尺矢量海图</w:t>
            </w:r>
          </w:p>
        </w:tc>
        <w:tc>
          <w:tcPr>
            <w:tcW w:w="1209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1套</w:t>
            </w:r>
          </w:p>
        </w:tc>
        <w:tc>
          <w:tcPr>
            <w:tcW w:w="1272" w:type="pct"/>
            <w:shd w:val="clear" w:color="auto" w:fill="auto"/>
          </w:tcPr>
          <w:p w:rsidR="00CC3107" w:rsidRPr="00557C9F" w:rsidRDefault="00CC3107" w:rsidP="00E45C09"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0"/>
              </w:rPr>
            </w:pPr>
            <w:r w:rsidRPr="00557C9F">
              <w:rPr>
                <w:rFonts w:ascii="宋体" w:hAnsi="宋体" w:cs="仿宋" w:hint="eastAsia"/>
                <w:sz w:val="24"/>
                <w:szCs w:val="20"/>
              </w:rPr>
              <w:t>包含在合同价格中</w:t>
            </w:r>
          </w:p>
        </w:tc>
      </w:tr>
    </w:tbl>
    <w:p w:rsidR="00CC3107" w:rsidRPr="00557C9F" w:rsidRDefault="00CC3107" w:rsidP="00CC3107">
      <w:pPr>
        <w:spacing w:line="360" w:lineRule="auto"/>
        <w:ind w:left="240" w:hangingChars="100" w:hanging="240"/>
        <w:rPr>
          <w:rFonts w:ascii="宋体" w:hAnsi="宋体" w:hint="eastAsia"/>
          <w:sz w:val="24"/>
        </w:rPr>
      </w:pPr>
    </w:p>
    <w:p w:rsidR="00CC3107" w:rsidRDefault="00CC3107" w:rsidP="00CC3107">
      <w:pPr>
        <w:tabs>
          <w:tab w:val="left" w:pos="432"/>
          <w:tab w:val="left" w:pos="567"/>
        </w:tabs>
        <w:spacing w:beforeLines="50" w:afterLines="50"/>
        <w:ind w:rightChars="-225" w:right="-473"/>
        <w:rPr>
          <w:rFonts w:ascii="Times New Roman" w:hAnsi="Times New Roman"/>
          <w:b/>
          <w:sz w:val="24"/>
        </w:rPr>
      </w:pPr>
      <w:r>
        <w:rPr>
          <w:rStyle w:val="2Char"/>
          <w:rFonts w:ascii="Times New Roman" w:hAnsi="Times New Roman"/>
          <w:sz w:val="24"/>
        </w:rPr>
        <w:t>二</w:t>
      </w:r>
      <w:r w:rsidRPr="00B853EF">
        <w:rPr>
          <w:rStyle w:val="2Char"/>
          <w:rFonts w:ascii="Times New Roman" w:hAnsi="Times New Roman"/>
          <w:sz w:val="24"/>
        </w:rPr>
        <w:t>、</w:t>
      </w:r>
      <w:r>
        <w:rPr>
          <w:rStyle w:val="2Char"/>
          <w:rFonts w:ascii="Times New Roman" w:hAnsi="Times New Roman"/>
          <w:sz w:val="24"/>
        </w:rPr>
        <w:t>设备技术指标和性能要求：（</w:t>
      </w:r>
      <w:r>
        <w:rPr>
          <w:rStyle w:val="2Char"/>
          <w:rFonts w:ascii="Times New Roman" w:hAnsi="Times New Roman"/>
          <w:sz w:val="24"/>
        </w:rPr>
        <w:t>*</w:t>
      </w:r>
      <w:r>
        <w:rPr>
          <w:rStyle w:val="2Char"/>
          <w:rFonts w:ascii="Times New Roman" w:hAnsi="Times New Roman"/>
          <w:sz w:val="24"/>
        </w:rPr>
        <w:t>为重要指标或性能要求，其他均为一般指标或性能要求）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061"/>
        <w:gridCol w:w="5559"/>
      </w:tblGrid>
      <w:tr w:rsidR="00CC3107" w:rsidTr="00E45C09">
        <w:trPr>
          <w:trHeight w:val="466"/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spacing w:beforeLines="50" w:afterLines="50"/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指标名称</w:t>
            </w:r>
          </w:p>
        </w:tc>
        <w:tc>
          <w:tcPr>
            <w:tcW w:w="5559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技术要求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海图格式</w:t>
            </w:r>
          </w:p>
        </w:tc>
        <w:tc>
          <w:tcPr>
            <w:tcW w:w="5559" w:type="dxa"/>
            <w:vAlign w:val="center"/>
          </w:tcPr>
          <w:p w:rsidR="00CC3107" w:rsidRPr="00D3215E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  <w:bCs/>
              </w:rPr>
            </w:pPr>
            <w:r w:rsidRPr="00D3215E">
              <w:rPr>
                <w:rFonts w:hint="eastAsia"/>
              </w:rPr>
              <w:t>支持</w:t>
            </w:r>
            <w:r w:rsidRPr="00D3215E">
              <w:rPr>
                <w:rFonts w:hint="eastAsia"/>
              </w:rPr>
              <w:t>S-57/S-63</w:t>
            </w:r>
            <w:r w:rsidRPr="00D3215E">
              <w:rPr>
                <w:rFonts w:hint="eastAsia"/>
              </w:rPr>
              <w:t>国际标准电子海图格式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*2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海图规范</w:t>
            </w:r>
          </w:p>
        </w:tc>
        <w:tc>
          <w:tcPr>
            <w:tcW w:w="5559" w:type="dxa"/>
            <w:vAlign w:val="center"/>
          </w:tcPr>
          <w:p w:rsidR="00CC3107" w:rsidRPr="00D3215E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D3215E">
              <w:rPr>
                <w:rFonts w:hint="eastAsia"/>
              </w:rPr>
              <w:t>海图显示符合</w:t>
            </w:r>
            <w:r w:rsidRPr="00D3215E">
              <w:rPr>
                <w:rFonts w:hint="eastAsia"/>
              </w:rPr>
              <w:t>S-52</w:t>
            </w:r>
            <w:r w:rsidRPr="00D3215E">
              <w:rPr>
                <w:rFonts w:hint="eastAsia"/>
              </w:rPr>
              <w:t>规范要求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*3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显示模式</w:t>
            </w:r>
          </w:p>
        </w:tc>
        <w:tc>
          <w:tcPr>
            <w:tcW w:w="5559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基本显示与标准显示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*4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符号样式</w:t>
            </w:r>
          </w:p>
        </w:tc>
        <w:tc>
          <w:tcPr>
            <w:tcW w:w="5559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简化符号与传统符号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*5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地理信息</w:t>
            </w:r>
          </w:p>
        </w:tc>
        <w:tc>
          <w:tcPr>
            <w:tcW w:w="5559" w:type="dxa"/>
            <w:vAlign w:val="center"/>
          </w:tcPr>
          <w:p w:rsidR="00CC3107" w:rsidRPr="00EC7221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EC7221">
              <w:rPr>
                <w:rFonts w:hint="eastAsia"/>
              </w:rPr>
              <w:t>能够提供中华人民共和国（包括台湾地区）领海的地理信息的全部矢量数据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硬件平台指标</w:t>
            </w:r>
          </w:p>
        </w:tc>
        <w:tc>
          <w:tcPr>
            <w:tcW w:w="5559" w:type="dxa"/>
            <w:vAlign w:val="center"/>
          </w:tcPr>
          <w:p w:rsidR="00CC3107" w:rsidRPr="009B5255" w:rsidRDefault="00CC3107" w:rsidP="00CC3107">
            <w:pPr>
              <w:pStyle w:val="af5"/>
              <w:tabs>
                <w:tab w:val="left" w:pos="432"/>
                <w:tab w:val="left" w:pos="567"/>
              </w:tabs>
              <w:spacing w:beforeLines="50" w:afterLines="50"/>
              <w:ind w:firstLineChars="0" w:firstLine="0"/>
              <w:jc w:val="center"/>
              <w:rPr>
                <w:sz w:val="21"/>
                <w:szCs w:val="21"/>
              </w:rPr>
            </w:pPr>
            <w:r w:rsidRPr="009B5255">
              <w:rPr>
                <w:rFonts w:hint="eastAsia"/>
                <w:sz w:val="21"/>
                <w:szCs w:val="21"/>
              </w:rPr>
              <w:t>Intel i7</w:t>
            </w:r>
            <w:r w:rsidRPr="009B5255">
              <w:rPr>
                <w:rFonts w:hint="eastAsia"/>
                <w:sz w:val="21"/>
                <w:szCs w:val="21"/>
              </w:rPr>
              <w:t>处理器，</w:t>
            </w:r>
            <w:r w:rsidRPr="009B5255">
              <w:rPr>
                <w:rFonts w:hint="eastAsia"/>
                <w:sz w:val="21"/>
                <w:szCs w:val="21"/>
              </w:rPr>
              <w:t>8g</w:t>
            </w:r>
            <w:r w:rsidRPr="009B5255">
              <w:rPr>
                <w:rFonts w:hint="eastAsia"/>
                <w:sz w:val="21"/>
                <w:szCs w:val="21"/>
              </w:rPr>
              <w:t>内存，千兆网卡，界面不发生卡顿的条件下，能够同时加载</w:t>
            </w:r>
            <w:r w:rsidRPr="009B5255">
              <w:rPr>
                <w:rFonts w:hint="eastAsia"/>
                <w:sz w:val="21"/>
                <w:szCs w:val="21"/>
              </w:rPr>
              <w:t>4000</w:t>
            </w:r>
            <w:r w:rsidRPr="009B5255">
              <w:rPr>
                <w:rFonts w:hint="eastAsia"/>
                <w:sz w:val="21"/>
                <w:szCs w:val="21"/>
              </w:rPr>
              <w:t>个点，</w:t>
            </w:r>
            <w:r w:rsidRPr="009B5255">
              <w:rPr>
                <w:rFonts w:hint="eastAsia"/>
                <w:sz w:val="21"/>
                <w:szCs w:val="21"/>
              </w:rPr>
              <w:t>2000</w:t>
            </w:r>
            <w:r w:rsidRPr="009B5255">
              <w:rPr>
                <w:rFonts w:hint="eastAsia"/>
                <w:sz w:val="21"/>
                <w:szCs w:val="21"/>
              </w:rPr>
              <w:t>条线，</w:t>
            </w:r>
            <w:r w:rsidRPr="009B5255">
              <w:rPr>
                <w:rFonts w:hint="eastAsia"/>
                <w:sz w:val="21"/>
                <w:szCs w:val="21"/>
              </w:rPr>
              <w:t>1000</w:t>
            </w:r>
            <w:r w:rsidRPr="009B5255">
              <w:rPr>
                <w:rFonts w:hint="eastAsia"/>
                <w:sz w:val="21"/>
                <w:szCs w:val="21"/>
              </w:rPr>
              <w:t>个矩形。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源码</w:t>
            </w:r>
          </w:p>
        </w:tc>
        <w:tc>
          <w:tcPr>
            <w:tcW w:w="5559" w:type="dxa"/>
            <w:vAlign w:val="center"/>
          </w:tcPr>
          <w:p w:rsidR="00CC3107" w:rsidRPr="002460A3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2460A3">
              <w:rPr>
                <w:rFonts w:hint="eastAsia"/>
              </w:rPr>
              <w:t>提供完整的矢量海图</w:t>
            </w:r>
            <w:r w:rsidRPr="002460A3">
              <w:rPr>
                <w:rFonts w:hint="eastAsia"/>
              </w:rPr>
              <w:t xml:space="preserve">Demo </w:t>
            </w:r>
            <w:r w:rsidRPr="002460A3">
              <w:rPr>
                <w:rFonts w:hint="eastAsia"/>
              </w:rPr>
              <w:t>程序源代码，包括</w:t>
            </w:r>
            <w:r w:rsidRPr="002460A3">
              <w:rPr>
                <w:rFonts w:hint="eastAsia"/>
              </w:rPr>
              <w:t xml:space="preserve">c++ </w:t>
            </w:r>
            <w:r w:rsidRPr="002460A3">
              <w:rPr>
                <w:rFonts w:hint="eastAsia"/>
              </w:rPr>
              <w:t>、</w:t>
            </w:r>
            <w:r w:rsidRPr="002460A3">
              <w:rPr>
                <w:rFonts w:hint="eastAsia"/>
              </w:rPr>
              <w:t xml:space="preserve"> c#</w:t>
            </w:r>
            <w:r w:rsidRPr="002460A3">
              <w:rPr>
                <w:rFonts w:hint="eastAsia"/>
              </w:rPr>
              <w:t>、</w:t>
            </w:r>
            <w:r w:rsidRPr="002460A3">
              <w:rPr>
                <w:rFonts w:hint="eastAsia"/>
              </w:rPr>
              <w:t xml:space="preserve"> javascript</w:t>
            </w:r>
            <w:r w:rsidRPr="002460A3">
              <w:rPr>
                <w:rFonts w:hint="eastAsia"/>
              </w:rPr>
              <w:t>、</w:t>
            </w:r>
            <w:r w:rsidRPr="002460A3">
              <w:rPr>
                <w:rFonts w:hint="eastAsia"/>
              </w:rPr>
              <w:t>java</w:t>
            </w:r>
            <w:r w:rsidRPr="002460A3">
              <w:rPr>
                <w:rFonts w:hint="eastAsia"/>
              </w:rPr>
              <w:t>版本，代码注释量应占全部源代码总量的</w:t>
            </w:r>
            <w:r w:rsidRPr="002460A3">
              <w:rPr>
                <w:rFonts w:hint="eastAsia"/>
              </w:rPr>
              <w:t>30%</w:t>
            </w:r>
            <w:r w:rsidRPr="002460A3">
              <w:rPr>
                <w:rFonts w:hint="eastAsia"/>
              </w:rPr>
              <w:t>以上。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操作系统</w:t>
            </w:r>
          </w:p>
        </w:tc>
        <w:tc>
          <w:tcPr>
            <w:tcW w:w="5559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支持双系统</w:t>
            </w:r>
            <w:r>
              <w:rPr>
                <w:rFonts w:ascii="Times New Roman" w:hAnsi="Times New Roman" w:hint="eastAsia"/>
              </w:rPr>
              <w:t>Linux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Windows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9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兼容性</w:t>
            </w:r>
          </w:p>
        </w:tc>
        <w:tc>
          <w:tcPr>
            <w:tcW w:w="5559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兼容</w:t>
            </w:r>
            <w:r>
              <w:rPr>
                <w:rFonts w:ascii="Times New Roman" w:hAnsi="Times New Roman" w:hint="eastAsia"/>
              </w:rPr>
              <w:t>4.8-5.10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Qt</w:t>
            </w:r>
            <w:r>
              <w:rPr>
                <w:rFonts w:ascii="Times New Roman" w:hAnsi="Times New Roman" w:hint="eastAsia"/>
              </w:rPr>
              <w:t>版本</w:t>
            </w:r>
          </w:p>
        </w:tc>
      </w:tr>
      <w:tr w:rsidR="00CC3107" w:rsidTr="00E45C09">
        <w:trPr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自定义</w:t>
            </w:r>
          </w:p>
        </w:tc>
        <w:tc>
          <w:tcPr>
            <w:tcW w:w="5559" w:type="dxa"/>
            <w:vAlign w:val="center"/>
          </w:tcPr>
          <w:p w:rsidR="00CC3107" w:rsidRPr="00776452" w:rsidRDefault="00CC3107" w:rsidP="00E45C09">
            <w:pPr>
              <w:spacing w:line="360" w:lineRule="auto"/>
              <w:ind w:left="210" w:hangingChars="100" w:hanging="210"/>
              <w:rPr>
                <w:rFonts w:ascii="Times New Roman" w:hAnsi="Times New Roman"/>
              </w:rPr>
            </w:pPr>
            <w:r w:rsidRPr="00776452">
              <w:rPr>
                <w:rFonts w:hint="eastAsia"/>
              </w:rPr>
              <w:t>提供相应的</w:t>
            </w:r>
            <w:r w:rsidRPr="00776452">
              <w:rPr>
                <w:rFonts w:hint="eastAsia"/>
              </w:rPr>
              <w:t>API</w:t>
            </w:r>
            <w:r w:rsidRPr="00776452">
              <w:rPr>
                <w:rFonts w:hint="eastAsia"/>
              </w:rPr>
              <w:t>接口函数，使之能够在矢量地图上绘制自定义图形（如圆形，箭头，矩形等）以及</w:t>
            </w:r>
            <w:r w:rsidRPr="00776452">
              <w:rPr>
                <w:rFonts w:hint="eastAsia"/>
              </w:rPr>
              <w:t>UTF-8</w:t>
            </w:r>
            <w:r w:rsidRPr="00776452">
              <w:rPr>
                <w:rFonts w:hint="eastAsia"/>
              </w:rPr>
              <w:t>字符。</w:t>
            </w:r>
          </w:p>
        </w:tc>
      </w:tr>
      <w:tr w:rsidR="00CC3107" w:rsidTr="00E45C09">
        <w:trPr>
          <w:trHeight w:val="300"/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洋流规范</w:t>
            </w:r>
          </w:p>
        </w:tc>
        <w:tc>
          <w:tcPr>
            <w:tcW w:w="5559" w:type="dxa"/>
            <w:vAlign w:val="center"/>
          </w:tcPr>
          <w:p w:rsidR="00CC3107" w:rsidRPr="00B00F56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B00F56">
              <w:rPr>
                <w:rFonts w:hint="eastAsia"/>
              </w:rPr>
              <w:t>符合</w:t>
            </w:r>
            <w:r w:rsidRPr="00B00F56">
              <w:rPr>
                <w:rFonts w:hint="eastAsia"/>
              </w:rPr>
              <w:t>S-52</w:t>
            </w:r>
            <w:r w:rsidRPr="00B00F56">
              <w:rPr>
                <w:rFonts w:hint="eastAsia"/>
              </w:rPr>
              <w:t>规范</w:t>
            </w:r>
          </w:p>
        </w:tc>
      </w:tr>
      <w:tr w:rsidR="00CC3107" w:rsidTr="00E45C09">
        <w:trPr>
          <w:trHeight w:val="225"/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风场规范</w:t>
            </w:r>
          </w:p>
        </w:tc>
        <w:tc>
          <w:tcPr>
            <w:tcW w:w="5559" w:type="dxa"/>
            <w:vAlign w:val="center"/>
          </w:tcPr>
          <w:p w:rsidR="00CC3107" w:rsidRPr="00B00F56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B00F56">
              <w:rPr>
                <w:rFonts w:hint="eastAsia"/>
              </w:rPr>
              <w:t>符合</w:t>
            </w:r>
            <w:r w:rsidRPr="00B00F56">
              <w:rPr>
                <w:rFonts w:hint="eastAsia"/>
              </w:rPr>
              <w:t>S-52</w:t>
            </w:r>
            <w:r w:rsidRPr="00B00F56">
              <w:rPr>
                <w:rFonts w:hint="eastAsia"/>
              </w:rPr>
              <w:t>规范</w:t>
            </w:r>
          </w:p>
        </w:tc>
      </w:tr>
      <w:tr w:rsidR="00CC3107" w:rsidTr="00E45C09">
        <w:trPr>
          <w:trHeight w:val="180"/>
          <w:jc w:val="center"/>
        </w:trPr>
        <w:tc>
          <w:tcPr>
            <w:tcW w:w="1052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061" w:type="dxa"/>
            <w:vAlign w:val="center"/>
          </w:tcPr>
          <w:p w:rsidR="00CC3107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浪场规范</w:t>
            </w:r>
          </w:p>
        </w:tc>
        <w:tc>
          <w:tcPr>
            <w:tcW w:w="5559" w:type="dxa"/>
            <w:vAlign w:val="center"/>
          </w:tcPr>
          <w:p w:rsidR="00CC3107" w:rsidRPr="00B00F56" w:rsidRDefault="00CC3107" w:rsidP="00CC3107">
            <w:pPr>
              <w:tabs>
                <w:tab w:val="left" w:pos="432"/>
                <w:tab w:val="left" w:pos="567"/>
              </w:tabs>
              <w:spacing w:beforeLines="50" w:afterLines="50"/>
              <w:jc w:val="center"/>
              <w:rPr>
                <w:rFonts w:ascii="Times New Roman" w:hAnsi="Times New Roman"/>
              </w:rPr>
            </w:pPr>
            <w:r w:rsidRPr="00B00F56">
              <w:rPr>
                <w:rFonts w:hint="eastAsia"/>
              </w:rPr>
              <w:t>符合</w:t>
            </w:r>
            <w:r w:rsidRPr="00B00F56">
              <w:rPr>
                <w:rFonts w:hint="eastAsia"/>
              </w:rPr>
              <w:t>S-52</w:t>
            </w:r>
            <w:r w:rsidRPr="00B00F56">
              <w:rPr>
                <w:rFonts w:hint="eastAsia"/>
              </w:rPr>
              <w:t>规范</w:t>
            </w:r>
          </w:p>
        </w:tc>
      </w:tr>
    </w:tbl>
    <w:p w:rsidR="00BE000F" w:rsidRDefault="00BE000F">
      <w:pPr>
        <w:spacing w:line="300" w:lineRule="auto"/>
        <w:ind w:firstLine="420"/>
        <w:rPr>
          <w:rFonts w:ascii="Times New Roman" w:eastAsia="Times New Roman" w:hAnsi="Times New Roman"/>
          <w:color w:val="000000"/>
        </w:rPr>
      </w:pPr>
    </w:p>
    <w:sectPr w:rsidR="00BE000F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A" w:rsidRDefault="0092748A" w:rsidP="00CC3107">
      <w:r>
        <w:separator/>
      </w:r>
    </w:p>
  </w:endnote>
  <w:endnote w:type="continuationSeparator" w:id="0">
    <w:p w:rsidR="0092748A" w:rsidRDefault="0092748A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icrosoft Sans Serif"/>
    <w:charset w:val="00"/>
    <w:family w:val="auto"/>
    <w:pitch w:val="variable"/>
    <w:sig w:usb0="00000000" w:usb1="4000207B" w:usb2="00000000" w:usb3="00000000" w:csb0="FFFFFF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A" w:rsidRDefault="0092748A" w:rsidP="00CC3107">
      <w:r>
        <w:separator/>
      </w:r>
    </w:p>
  </w:footnote>
  <w:footnote w:type="continuationSeparator" w:id="0">
    <w:p w:rsidR="0092748A" w:rsidRDefault="0092748A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2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3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92748A"/>
    <w:rsid w:val="00BE000F"/>
    <w:rsid w:val="00CC31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4</cp:revision>
  <dcterms:created xsi:type="dcterms:W3CDTF">2018-09-14T00:25:00Z</dcterms:created>
  <dcterms:modified xsi:type="dcterms:W3CDTF">2018-09-14T00:26:00Z</dcterms:modified>
</cp:coreProperties>
</file>