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0452D8" w:rsidRDefault="00CC32A4">
      <w:pPr>
        <w:snapToGrid w:val="0"/>
        <w:spacing w:line="312" w:lineRule="auto"/>
        <w:jc w:val="center"/>
        <w:outlineLvl w:val="0"/>
        <w:rPr>
          <w:rFonts w:ascii="微软雅黑" w:eastAsia="微软雅黑" w:hAnsi="微软雅黑"/>
          <w:sz w:val="36"/>
          <w:szCs w:val="36"/>
        </w:rPr>
      </w:pPr>
      <w:r w:rsidRPr="000452D8">
        <w:rPr>
          <w:rFonts w:ascii="微软雅黑" w:eastAsia="微软雅黑" w:hAnsi="微软雅黑" w:hint="eastAsia"/>
          <w:sz w:val="36"/>
          <w:szCs w:val="36"/>
        </w:rPr>
        <w:t>采购需求</w:t>
      </w:r>
    </w:p>
    <w:p w:rsidR="00BE000F" w:rsidRDefault="00BE000F">
      <w:pPr>
        <w:snapToGrid w:val="0"/>
        <w:spacing w:line="312" w:lineRule="auto"/>
        <w:jc w:val="center"/>
        <w:outlineLvl w:val="0"/>
        <w:rPr>
          <w:rFonts w:ascii="Times New Roman" w:eastAsia="Times New Roman" w:hAnsi="Times New Roman"/>
          <w:sz w:val="31"/>
          <w:szCs w:val="31"/>
        </w:rPr>
      </w:pPr>
    </w:p>
    <w:p w:rsidR="00261175" w:rsidRDefault="00261175" w:rsidP="00261175">
      <w:pPr>
        <w:pStyle w:val="af6"/>
        <w:kinsoku w:val="0"/>
        <w:overflowPunct w:val="0"/>
        <w:rPr>
          <w:b w:val="0"/>
          <w:bCs w:val="0"/>
        </w:rPr>
      </w:pPr>
      <w:r>
        <w:rPr>
          <w:rFonts w:hint="eastAsia"/>
        </w:rPr>
        <w:t>附件：拟采购设备的具体技术指标</w:t>
      </w:r>
    </w:p>
    <w:p w:rsidR="00261175" w:rsidRDefault="00261175" w:rsidP="00261175">
      <w:pPr>
        <w:pStyle w:val="af6"/>
        <w:kinsoku w:val="0"/>
        <w:overflowPunct w:val="0"/>
        <w:spacing w:before="1"/>
        <w:ind w:left="0"/>
        <w:rPr>
          <w:sz w:val="18"/>
          <w:szCs w:val="18"/>
        </w:rPr>
      </w:pPr>
    </w:p>
    <w:tbl>
      <w:tblPr>
        <w:tblpPr w:leftFromText="180" w:rightFromText="180" w:vertAnchor="text" w:tblpX="225" w:tblpY="2"/>
        <w:tblOverlap w:val="never"/>
        <w:tblW w:w="0" w:type="auto"/>
        <w:tblLayout w:type="fixed"/>
        <w:tblLook w:val="0000"/>
      </w:tblPr>
      <w:tblGrid>
        <w:gridCol w:w="621"/>
        <w:gridCol w:w="1072"/>
        <w:gridCol w:w="7064"/>
        <w:gridCol w:w="588"/>
      </w:tblGrid>
      <w:tr w:rsidR="00261175" w:rsidTr="00AC5010">
        <w:trPr>
          <w:trHeight w:hRule="exact" w:val="89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cs="宋体" w:hint="eastAsia"/>
              </w:rPr>
              <w:t>序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号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cs="宋体" w:hint="eastAsia"/>
              </w:rPr>
              <w:t>设备</w:t>
            </w:r>
          </w:p>
          <w:p w:rsidR="00261175" w:rsidRDefault="00261175" w:rsidP="00AC5010">
            <w:r>
              <w:rPr>
                <w:rFonts w:cs="宋体" w:hint="eastAsia"/>
              </w:rPr>
              <w:t>名称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cs="宋体" w:hint="eastAsia"/>
              </w:rPr>
              <w:t>技术要求及功能描述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cs="宋体" w:hint="eastAsia"/>
              </w:rPr>
              <w:t>备注</w:t>
            </w:r>
          </w:p>
        </w:tc>
      </w:tr>
      <w:tr w:rsidR="00261175" w:rsidTr="00AC5010">
        <w:trPr>
          <w:trHeight w:hRule="exact"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pPr>
              <w:rPr>
                <w:rFonts w:cs="宋体"/>
              </w:rPr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cs="宋体" w:hint="eastAsia"/>
              </w:rPr>
              <w:t>总体要求</w:t>
            </w:r>
          </w:p>
          <w:p w:rsidR="00261175" w:rsidRDefault="00261175" w:rsidP="00AC5010">
            <w:r>
              <w:t xml:space="preserve">1) </w:t>
            </w:r>
            <w:r>
              <w:rPr>
                <w:rFonts w:cs="宋体" w:hint="eastAsia"/>
              </w:rPr>
              <w:t>必须提供制造商（或代表厂商依法设立在中国大陆的贸易公司）针对本项目的授权书和售后服务承诺书原件。</w:t>
            </w:r>
          </w:p>
          <w:p w:rsidR="00261175" w:rsidRDefault="00261175" w:rsidP="00AC5010">
            <w:r>
              <w:t>2</w:t>
            </w:r>
            <w:r>
              <w:rPr>
                <w:rFonts w:cs="宋体" w:hint="eastAsia"/>
              </w:rPr>
              <w:t>）提供设备彩页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设备的技术证明文件。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</w:tr>
      <w:tr w:rsidR="00261175" w:rsidTr="00AC5010">
        <w:trPr>
          <w:trHeight w:hRule="exact" w:val="182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pPr>
              <w:rPr>
                <w:rFonts w:cs="宋体"/>
              </w:rPr>
            </w:pPr>
            <w:r>
              <w:t>2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>
            <w:r>
              <w:rPr>
                <w:rFonts w:cs="宋体" w:hint="eastAsia"/>
              </w:rPr>
              <w:t>动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态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跟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踪系统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cs="宋体" w:hint="eastAsia"/>
              </w:rPr>
              <w:t>动态跟踪系统功能描述</w:t>
            </w:r>
          </w:p>
          <w:p w:rsidR="00261175" w:rsidRDefault="00261175" w:rsidP="00AC5010">
            <w:r>
              <w:t>1</w:t>
            </w:r>
            <w:r>
              <w:rPr>
                <w:rFonts w:cs="宋体" w:hint="eastAsia"/>
              </w:rPr>
              <w:t>）具有对空间物体</w:t>
            </w:r>
            <w:r>
              <w:rPr>
                <w:rFonts w:cs="宋体"/>
              </w:rPr>
              <w:t xml:space="preserve"> 6 </w:t>
            </w:r>
            <w:r>
              <w:rPr>
                <w:rFonts w:cs="宋体" w:hint="eastAsia"/>
              </w:rPr>
              <w:t>自由度动态高精度追踪测量功能。</w:t>
            </w:r>
          </w:p>
          <w:p w:rsidR="00261175" w:rsidRDefault="00261175" w:rsidP="00AC5010">
            <w:r>
              <w:t>2</w:t>
            </w:r>
            <w:r>
              <w:rPr>
                <w:rFonts w:cs="宋体" w:hint="eastAsia"/>
              </w:rPr>
              <w:t>）具有现场校准与评估、实时轨迹修正、运动捕捉等功能。</w:t>
            </w:r>
          </w:p>
          <w:p w:rsidR="00261175" w:rsidRDefault="00261175" w:rsidP="00AC5010">
            <w:r>
              <w:t>3</w:t>
            </w:r>
            <w:r>
              <w:rPr>
                <w:rFonts w:cs="宋体" w:hint="eastAsia"/>
              </w:rPr>
              <w:t>）具有装配控制与监测、变形监测、碰撞试验测试、计算机控制下的装配指导的功能。</w:t>
            </w: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</w:tr>
      <w:tr w:rsidR="00261175" w:rsidTr="00AC5010">
        <w:trPr>
          <w:trHeight w:hRule="exact" w:val="697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ascii="微软雅黑" w:eastAsia="微软雅黑" w:hAnsi="微软雅黑" w:cs="微软雅黑" w:hint="eastAsia"/>
              </w:rPr>
              <w:t>★</w:t>
            </w:r>
            <w:r>
              <w:rPr>
                <w:rFonts w:cs="宋体" w:hint="eastAsia"/>
              </w:rPr>
              <w:t>动态跟踪系统组成</w:t>
            </w:r>
          </w:p>
          <w:p w:rsidR="00261175" w:rsidRDefault="00261175" w:rsidP="00AC5010">
            <w:r>
              <w:t>4</w:t>
            </w:r>
            <w:r>
              <w:rPr>
                <w:rFonts w:cs="宋体" w:hint="eastAsia"/>
              </w:rPr>
              <w:t>）系统由同一品牌的光学跟踪传感器、动态跟踪软件及联网</w:t>
            </w:r>
          </w:p>
          <w:p w:rsidR="00261175" w:rsidRDefault="00261175" w:rsidP="00AC5010">
            <w:r>
              <w:rPr>
                <w:rFonts w:cs="宋体" w:hint="eastAsia"/>
              </w:rPr>
              <w:t>装置组成。</w:t>
            </w:r>
          </w:p>
          <w:p w:rsidR="00261175" w:rsidRDefault="00261175" w:rsidP="00AC5010">
            <w:r>
              <w:t>5</w:t>
            </w:r>
            <w:r>
              <w:rPr>
                <w:rFonts w:cs="宋体" w:hint="eastAsia"/>
              </w:rPr>
              <w:t>）光学跟踪传感器</w:t>
            </w:r>
            <w:r>
              <w:rPr>
                <w:rFonts w:cs="宋体"/>
              </w:rPr>
              <w:t xml:space="preserve"> </w:t>
            </w:r>
            <w:r>
              <w:t xml:space="preserve">1 </w:t>
            </w:r>
            <w:r>
              <w:rPr>
                <w:rFonts w:cs="宋体" w:hint="eastAsia"/>
              </w:rPr>
              <w:t>台、动态跟踪软件</w:t>
            </w:r>
            <w:r>
              <w:rPr>
                <w:rFonts w:cs="宋体"/>
              </w:rPr>
              <w:t xml:space="preserve"> 1 </w:t>
            </w:r>
            <w:r>
              <w:rPr>
                <w:rFonts w:cs="宋体" w:hint="eastAsia"/>
              </w:rPr>
              <w:t>套、光笔测量头</w:t>
            </w:r>
            <w:r>
              <w:t xml:space="preserve"> 1</w:t>
            </w:r>
          </w:p>
          <w:p w:rsidR="00261175" w:rsidRDefault="00261175" w:rsidP="00AC5010">
            <w:r>
              <w:rPr>
                <w:rFonts w:cs="宋体" w:hint="eastAsia"/>
              </w:rPr>
              <w:t>套。</w:t>
            </w:r>
          </w:p>
          <w:p w:rsidR="00261175" w:rsidRDefault="00261175" w:rsidP="00AC5010">
            <w:r>
              <w:rPr>
                <w:rFonts w:cs="宋体" w:hint="eastAsia"/>
              </w:rPr>
              <w:t>光学跟踪传感器主要技术指标和要求</w:t>
            </w:r>
          </w:p>
          <w:p w:rsidR="00261175" w:rsidRDefault="00261175" w:rsidP="00AC5010">
            <w:r>
              <w:t>6</w:t>
            </w:r>
            <w:r>
              <w:rPr>
                <w:rFonts w:cs="宋体" w:hint="eastAsia"/>
              </w:rPr>
              <w:t>）可同步测量一组反射靶。</w:t>
            </w:r>
          </w:p>
          <w:p w:rsidR="00261175" w:rsidRDefault="00261175" w:rsidP="00AC5010">
            <w:r>
              <w:t xml:space="preserve">7) </w:t>
            </w:r>
            <w:r>
              <w:rPr>
                <w:rFonts w:cs="宋体" w:hint="eastAsia"/>
              </w:rPr>
              <w:t>能对一套固定反射靶执行</w:t>
            </w:r>
            <w:r>
              <w:rPr>
                <w:rFonts w:cs="宋体"/>
              </w:rPr>
              <w:t xml:space="preserve"> 6 </w:t>
            </w:r>
            <w:r>
              <w:rPr>
                <w:rFonts w:cs="宋体" w:hint="eastAsia"/>
              </w:rPr>
              <w:t>自由度测量（位置和方向）。</w:t>
            </w:r>
          </w:p>
          <w:p w:rsidR="00261175" w:rsidRDefault="00261175" w:rsidP="00AC5010">
            <w:r>
              <w:t>8</w:t>
            </w:r>
            <w:r>
              <w:rPr>
                <w:rFonts w:cs="宋体" w:hint="eastAsia"/>
              </w:rPr>
              <w:t>）测量体积范围：≥</w:t>
            </w:r>
            <w:r>
              <w:rPr>
                <w:rFonts w:cs="宋体"/>
              </w:rPr>
              <w:t>9m</w:t>
            </w:r>
            <w:r>
              <w:rPr>
                <w:rFonts w:cs="宋体" w:hint="eastAsia"/>
              </w:rPr>
              <w:t>³（一次定位），并可扩展测量更大</w:t>
            </w:r>
          </w:p>
          <w:p w:rsidR="00261175" w:rsidRDefault="00261175" w:rsidP="00AC5010">
            <w:r>
              <w:rPr>
                <w:rFonts w:cs="宋体" w:hint="eastAsia"/>
              </w:rPr>
              <w:t>范围。</w:t>
            </w:r>
          </w:p>
          <w:p w:rsidR="00261175" w:rsidRDefault="00261175" w:rsidP="00AC5010">
            <w:r>
              <w:t>9</w:t>
            </w:r>
            <w:r>
              <w:rPr>
                <w:rFonts w:cs="宋体" w:hint="eastAsia"/>
              </w:rPr>
              <w:t>）测量速度：≥</w:t>
            </w:r>
            <w:r>
              <w:rPr>
                <w:rFonts w:cs="宋体"/>
              </w:rPr>
              <w:t xml:space="preserve">6600 </w:t>
            </w:r>
            <w:r>
              <w:rPr>
                <w:rFonts w:cs="宋体" w:hint="eastAsia"/>
              </w:rPr>
              <w:t>个</w:t>
            </w:r>
            <w:r>
              <w:rPr>
                <w:rFonts w:cs="宋体"/>
              </w:rPr>
              <w:t xml:space="preserve"> 3D </w:t>
            </w:r>
            <w:r>
              <w:rPr>
                <w:rFonts w:cs="宋体" w:hint="eastAsia"/>
              </w:rPr>
              <w:t>点</w:t>
            </w:r>
            <w:r>
              <w:rPr>
                <w:rFonts w:cs="宋体"/>
              </w:rPr>
              <w:t>/</w:t>
            </w:r>
            <w:r>
              <w:rPr>
                <w:rFonts w:cs="宋体" w:hint="eastAsia"/>
              </w:rPr>
              <w:t>秒。</w:t>
            </w:r>
          </w:p>
          <w:p w:rsidR="00261175" w:rsidRDefault="00261175" w:rsidP="00AC5010">
            <w:r>
              <w:t>10</w:t>
            </w:r>
            <w:r>
              <w:rPr>
                <w:rFonts w:cs="宋体" w:hint="eastAsia"/>
              </w:rPr>
              <w:t>）可重复性：小于等于</w:t>
            </w:r>
            <w:r>
              <w:rPr>
                <w:rFonts w:cs="宋体"/>
              </w:rPr>
              <w:t xml:space="preserve"> 0.013mm </w:t>
            </w: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9m</w:t>
            </w:r>
            <w:r>
              <w:t>³</w:t>
            </w:r>
            <w:r>
              <w:rPr>
                <w:rFonts w:cs="宋体" w:hint="eastAsia"/>
              </w:rPr>
              <w:t>工作范围内）；小于</w:t>
            </w:r>
          </w:p>
          <w:p w:rsidR="00261175" w:rsidRDefault="00261175" w:rsidP="00AC5010">
            <w:r>
              <w:rPr>
                <w:rFonts w:cs="宋体" w:hint="eastAsia"/>
              </w:rPr>
              <w:t>等于</w:t>
            </w:r>
            <w:r>
              <w:rPr>
                <w:rFonts w:cs="宋体"/>
              </w:rPr>
              <w:t xml:space="preserve"> 0.020mm</w:t>
            </w: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16m</w:t>
            </w:r>
            <w:r>
              <w:t xml:space="preserve">³ </w:t>
            </w:r>
            <w:r>
              <w:rPr>
                <w:rFonts w:cs="宋体" w:hint="eastAsia"/>
              </w:rPr>
              <w:t>工作范围内）。</w:t>
            </w:r>
          </w:p>
          <w:p w:rsidR="00261175" w:rsidRDefault="00261175" w:rsidP="00AC5010">
            <w:r>
              <w:t>11</w:t>
            </w:r>
            <w:r>
              <w:rPr>
                <w:rFonts w:cs="宋体" w:hint="eastAsia"/>
              </w:rPr>
              <w:t>）体积精度：小于等于</w:t>
            </w:r>
            <w:r>
              <w:rPr>
                <w:rFonts w:cs="宋体"/>
              </w:rPr>
              <w:t xml:space="preserve"> 0.068mm</w:t>
            </w: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9m</w:t>
            </w:r>
            <w:r>
              <w:t xml:space="preserve">³ </w:t>
            </w:r>
            <w:r>
              <w:rPr>
                <w:rFonts w:cs="宋体" w:hint="eastAsia"/>
              </w:rPr>
              <w:t>工作范围内）；小于</w:t>
            </w:r>
          </w:p>
          <w:p w:rsidR="00261175" w:rsidRDefault="00261175" w:rsidP="00AC5010">
            <w:r>
              <w:rPr>
                <w:rFonts w:cs="宋体" w:hint="eastAsia"/>
              </w:rPr>
              <w:t>等于</w:t>
            </w:r>
            <w:r>
              <w:rPr>
                <w:rFonts w:cs="宋体"/>
              </w:rPr>
              <w:t xml:space="preserve"> 0.100mm</w:t>
            </w: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16m</w:t>
            </w:r>
            <w:r>
              <w:t xml:space="preserve">³ </w:t>
            </w:r>
            <w:r>
              <w:rPr>
                <w:rFonts w:cs="宋体" w:hint="eastAsia"/>
              </w:rPr>
              <w:t>工作范围内）。</w:t>
            </w:r>
          </w:p>
          <w:p w:rsidR="00261175" w:rsidRDefault="00261175" w:rsidP="00AC5010">
            <w:r>
              <w:t>12</w:t>
            </w:r>
            <w:r>
              <w:rPr>
                <w:rFonts w:cs="宋体" w:hint="eastAsia"/>
              </w:rPr>
              <w:t>）单个靶标重量小于</w:t>
            </w:r>
            <w:r>
              <w:rPr>
                <w:rFonts w:cs="宋体"/>
              </w:rPr>
              <w:t xml:space="preserve"> 25 </w:t>
            </w:r>
            <w:r>
              <w:rPr>
                <w:rFonts w:cs="宋体" w:hint="eastAsia"/>
              </w:rPr>
              <w:t>克。</w:t>
            </w:r>
          </w:p>
          <w:p w:rsidR="00261175" w:rsidRDefault="00261175" w:rsidP="00AC5010">
            <w:r>
              <w:rPr>
                <w:rFonts w:cs="宋体" w:hint="eastAsia"/>
              </w:rPr>
              <w:t>动态跟踪软件主要技术指标和要求</w:t>
            </w:r>
          </w:p>
          <w:p w:rsidR="00261175" w:rsidRDefault="00261175" w:rsidP="00AC5010">
            <w:r>
              <w:t>13</w:t>
            </w:r>
            <w:r>
              <w:rPr>
                <w:rFonts w:cs="宋体" w:hint="eastAsia"/>
              </w:rPr>
              <w:t>）提供一年免费软件升级。</w:t>
            </w:r>
          </w:p>
          <w:p w:rsidR="00261175" w:rsidRDefault="00261175" w:rsidP="00AC5010">
            <w:r>
              <w:t>14</w:t>
            </w:r>
            <w:r>
              <w:rPr>
                <w:rFonts w:cs="宋体" w:hint="eastAsia"/>
              </w:rPr>
              <w:t>）具有实时显示结果曲线的功能。</w:t>
            </w:r>
          </w:p>
          <w:p w:rsidR="00261175" w:rsidRDefault="00261175" w:rsidP="00AC5010">
            <w:r>
              <w:t>15</w:t>
            </w:r>
            <w:r>
              <w:rPr>
                <w:rFonts w:cs="宋体" w:hint="eastAsia"/>
              </w:rPr>
              <w:t>）可采用</w:t>
            </w:r>
            <w:r>
              <w:rPr>
                <w:rFonts w:cs="宋体"/>
              </w:rPr>
              <w:t xml:space="preserve">.csv </w:t>
            </w:r>
            <w:r>
              <w:rPr>
                <w:rFonts w:cs="宋体" w:hint="eastAsia"/>
              </w:rPr>
              <w:t>格式导出测量结果。</w:t>
            </w: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</w:tr>
    </w:tbl>
    <w:p w:rsidR="00261175" w:rsidRDefault="00261175" w:rsidP="00261175">
      <w:pPr>
        <w:sectPr w:rsidR="00261175" w:rsidSect="00261175">
          <w:pgSz w:w="11910" w:h="16840"/>
          <w:pgMar w:top="1380" w:right="1420" w:bottom="280" w:left="1360" w:header="720" w:footer="720" w:gutter="0"/>
          <w:cols w:space="720"/>
        </w:sectPr>
      </w:pPr>
    </w:p>
    <w:tbl>
      <w:tblPr>
        <w:tblpPr w:leftFromText="180" w:rightFromText="180" w:vertAnchor="text" w:tblpX="225" w:tblpY="2"/>
        <w:tblOverlap w:val="never"/>
        <w:tblW w:w="0" w:type="auto"/>
        <w:tblLayout w:type="fixed"/>
        <w:tblLook w:val="0000"/>
      </w:tblPr>
      <w:tblGrid>
        <w:gridCol w:w="613"/>
        <w:gridCol w:w="825"/>
        <w:gridCol w:w="6724"/>
        <w:gridCol w:w="726"/>
      </w:tblGrid>
      <w:tr w:rsidR="00261175" w:rsidTr="00AC5010">
        <w:trPr>
          <w:trHeight w:hRule="exact" w:val="2303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175" w:rsidRDefault="00261175" w:rsidP="00AC5010">
            <w:pPr>
              <w:rPr>
                <w:rFonts w:cs="宋体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16</w:t>
            </w:r>
            <w:r>
              <w:rPr>
                <w:rFonts w:cs="宋体" w:hint="eastAsia"/>
              </w:rPr>
              <w:t>）支持在</w:t>
            </w:r>
            <w:r>
              <w:rPr>
                <w:rFonts w:cs="宋体"/>
              </w:rPr>
              <w:t xml:space="preserve"> Excel </w:t>
            </w:r>
            <w:r>
              <w:rPr>
                <w:rFonts w:cs="宋体" w:hint="eastAsia"/>
              </w:rPr>
              <w:t>表格中直接读取</w:t>
            </w:r>
            <w:r>
              <w:rPr>
                <w:rFonts w:cs="宋体"/>
              </w:rPr>
              <w:t xml:space="preserve"> 6 </w:t>
            </w:r>
            <w:r>
              <w:rPr>
                <w:rFonts w:cs="宋体" w:hint="eastAsia"/>
              </w:rPr>
              <w:t>自由度测量值。</w:t>
            </w:r>
          </w:p>
          <w:p w:rsidR="00261175" w:rsidRDefault="00261175" w:rsidP="00AC5010">
            <w:r>
              <w:t>17</w:t>
            </w:r>
            <w:r>
              <w:rPr>
                <w:rFonts w:cs="宋体" w:hint="eastAsia"/>
              </w:rPr>
              <w:t>）导出的追踪文件可显示出相等时间段（可调）的每个靶</w:t>
            </w:r>
          </w:p>
          <w:p w:rsidR="00261175" w:rsidRDefault="00261175" w:rsidP="00AC5010">
            <w:r>
              <w:rPr>
                <w:rFonts w:cs="宋体" w:hint="eastAsia"/>
              </w:rPr>
              <w:t>标点的坐标位置。联网装置主要技术指标和要求</w:t>
            </w:r>
          </w:p>
          <w:p w:rsidR="00261175" w:rsidRDefault="00261175" w:rsidP="00AC5010">
            <w:r>
              <w:t>18</w:t>
            </w:r>
            <w:r>
              <w:rPr>
                <w:rFonts w:cs="宋体" w:hint="eastAsia"/>
              </w:rPr>
              <w:t>）所有定位靶标采用反光材质，不能采用</w:t>
            </w:r>
            <w:r>
              <w:rPr>
                <w:rFonts w:cs="宋体"/>
              </w:rPr>
              <w:t>LED</w:t>
            </w:r>
            <w:r>
              <w:rPr>
                <w:rFonts w:cs="宋体" w:hint="eastAsia"/>
              </w:rPr>
              <w:t>等主动发光元件。</w:t>
            </w:r>
          </w:p>
          <w:p w:rsidR="00261175" w:rsidRDefault="00261175" w:rsidP="00AC5010">
            <w:r>
              <w:t>19</w:t>
            </w:r>
            <w:r>
              <w:rPr>
                <w:rFonts w:cs="宋体" w:hint="eastAsia"/>
              </w:rPr>
              <w:t>）支持光学跟踪传感器与动态跟踪软件的链接和信号实时</w:t>
            </w:r>
          </w:p>
          <w:p w:rsidR="00261175" w:rsidRDefault="00261175" w:rsidP="00AC5010">
            <w:r>
              <w:rPr>
                <w:rFonts w:cs="宋体" w:hint="eastAsia"/>
              </w:rPr>
              <w:t>传输。</w:t>
            </w:r>
          </w:p>
          <w:p w:rsidR="00261175" w:rsidRDefault="00261175" w:rsidP="00AC5010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511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pPr>
              <w:rPr>
                <w:rFonts w:cs="宋体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>
            <w:r>
              <w:rPr>
                <w:rFonts w:ascii="微软雅黑" w:eastAsia="微软雅黑" w:hAnsi="微软雅黑" w:cs="微软雅黑" w:hint="eastAsia"/>
              </w:rPr>
              <w:t>★</w:t>
            </w:r>
            <w:r>
              <w:rPr>
                <w:rFonts w:cs="宋体" w:hint="eastAsia"/>
              </w:rPr>
              <w:t>光笔测量头功能描述</w:t>
            </w:r>
          </w:p>
          <w:p w:rsidR="00261175" w:rsidRDefault="00261175" w:rsidP="002611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rFonts w:cs="宋体" w:hint="eastAsia"/>
              </w:rPr>
              <w:t>与动态跟踪系统配合使用，能实现尺寸测量检测</w:t>
            </w:r>
          </w:p>
          <w:p w:rsidR="00261175" w:rsidRDefault="00261175" w:rsidP="00AC5010">
            <w:r>
              <w:t>2</w:t>
            </w:r>
            <w:r>
              <w:rPr>
                <w:rFonts w:cs="宋体" w:hint="eastAsia"/>
              </w:rPr>
              <w:t>）具有动态测量功能。</w:t>
            </w:r>
          </w:p>
          <w:p w:rsidR="00261175" w:rsidRDefault="00261175" w:rsidP="00AC5010">
            <w:r>
              <w:t>3</w:t>
            </w:r>
            <w:r>
              <w:rPr>
                <w:rFonts w:cs="宋体" w:hint="eastAsia"/>
              </w:rPr>
              <w:t>）对较大工件测量（长度</w:t>
            </w:r>
            <w:r>
              <w:rPr>
                <w:rFonts w:cs="宋体"/>
              </w:rPr>
              <w:t xml:space="preserve"> 3 </w:t>
            </w:r>
            <w:r>
              <w:rPr>
                <w:rFonts w:cs="宋体" w:hint="eastAsia"/>
              </w:rPr>
              <w:t>米以内），无需采用蛙跳球形式，以减少误差积累。</w:t>
            </w:r>
          </w:p>
          <w:p w:rsidR="00261175" w:rsidRDefault="00261175" w:rsidP="00AC5010">
            <w:r>
              <w:t>4</w:t>
            </w:r>
            <w:r>
              <w:rPr>
                <w:rFonts w:cs="宋体" w:hint="eastAsia"/>
              </w:rPr>
              <w:t>）坐标系对齐：移动时设备时，通过光学传感器拍摄特定反</w:t>
            </w:r>
          </w:p>
          <w:p w:rsidR="00261175" w:rsidRDefault="00261175" w:rsidP="00AC5010">
            <w:r>
              <w:rPr>
                <w:rFonts w:cs="宋体" w:hint="eastAsia"/>
              </w:rPr>
              <w:t>光目标点自动进行坐标系的对齐。</w:t>
            </w:r>
          </w:p>
          <w:p w:rsidR="00261175" w:rsidRDefault="00261175" w:rsidP="00AC5010">
            <w:r>
              <w:t>5</w:t>
            </w:r>
            <w:r>
              <w:rPr>
                <w:rFonts w:cs="宋体" w:hint="eastAsia"/>
              </w:rPr>
              <w:t>）测量范围：≥</w:t>
            </w:r>
            <w:r>
              <w:rPr>
                <w:rFonts w:cs="宋体"/>
              </w:rPr>
              <w:t>9m</w:t>
            </w:r>
            <w:r>
              <w:rPr>
                <w:rFonts w:cs="宋体" w:hint="eastAsia"/>
              </w:rPr>
              <w:t>³（一次定位），并可扩展测量更大范围</w:t>
            </w:r>
          </w:p>
          <w:p w:rsidR="00261175" w:rsidRDefault="00261175" w:rsidP="00AC5010">
            <w:r>
              <w:t>6</w:t>
            </w:r>
            <w:r>
              <w:rPr>
                <w:rFonts w:cs="宋体" w:hint="eastAsia"/>
              </w:rPr>
              <w:t>）精度：最高可达</w:t>
            </w:r>
            <w:r>
              <w:rPr>
                <w:rFonts w:cs="宋体"/>
              </w:rPr>
              <w:t xml:space="preserve"> 0.025mm</w:t>
            </w:r>
            <w:r>
              <w:rPr>
                <w:rFonts w:cs="宋体" w:hint="eastAsia"/>
              </w:rPr>
              <w:t>。</w:t>
            </w:r>
          </w:p>
          <w:p w:rsidR="00261175" w:rsidRDefault="00261175" w:rsidP="00AC5010">
            <w:r>
              <w:t>7</w:t>
            </w:r>
            <w:r>
              <w:rPr>
                <w:rFonts w:cs="宋体" w:hint="eastAsia"/>
              </w:rPr>
              <w:t>）单点重复精度：小于等于</w:t>
            </w:r>
            <w:r>
              <w:rPr>
                <w:rFonts w:cs="宋体"/>
              </w:rPr>
              <w:t xml:space="preserve"> 0.050mm</w:t>
            </w: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9m</w:t>
            </w:r>
            <w:r>
              <w:rPr>
                <w:rFonts w:cs="宋体" w:hint="eastAsia"/>
              </w:rPr>
              <w:t>³工作范围内）；</w:t>
            </w:r>
          </w:p>
          <w:p w:rsidR="00261175" w:rsidRDefault="00261175" w:rsidP="00AC5010">
            <w:r>
              <w:rPr>
                <w:rFonts w:cs="宋体" w:hint="eastAsia"/>
              </w:rPr>
              <w:t>小于等于</w:t>
            </w:r>
            <w:r>
              <w:rPr>
                <w:rFonts w:cs="宋体"/>
              </w:rPr>
              <w:t xml:space="preserve"> 0.060mm</w:t>
            </w: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16m</w:t>
            </w:r>
            <w:r>
              <w:rPr>
                <w:rFonts w:cs="宋体" w:hint="eastAsia"/>
              </w:rPr>
              <w:t>³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工作范围内）。</w:t>
            </w:r>
          </w:p>
          <w:p w:rsidR="00261175" w:rsidRDefault="00261175" w:rsidP="00AC5010">
            <w:r>
              <w:t>8</w:t>
            </w:r>
            <w:r>
              <w:rPr>
                <w:rFonts w:cs="宋体" w:hint="eastAsia"/>
              </w:rPr>
              <w:t>）重量：≤</w:t>
            </w:r>
            <w:r>
              <w:rPr>
                <w:rFonts w:cs="宋体"/>
              </w:rPr>
              <w:t>500g</w:t>
            </w:r>
            <w:r>
              <w:rPr>
                <w:rFonts w:cs="宋体" w:hint="eastAsia"/>
              </w:rPr>
              <w:t>，且为手持式。</w:t>
            </w:r>
          </w:p>
          <w:p w:rsidR="00261175" w:rsidRDefault="00261175" w:rsidP="00AC5010">
            <w:r>
              <w:t>9</w:t>
            </w:r>
            <w:r>
              <w:rPr>
                <w:rFonts w:cs="宋体" w:hint="eastAsia"/>
              </w:rPr>
              <w:t>）校准与更换：一次校准，可长期使用；更换测头、测针</w:t>
            </w:r>
          </w:p>
          <w:p w:rsidR="00261175" w:rsidRDefault="00261175" w:rsidP="00AC5010">
            <w:r>
              <w:rPr>
                <w:rFonts w:cs="宋体" w:hint="eastAsia"/>
              </w:rPr>
              <w:t>无需校准。</w:t>
            </w:r>
          </w:p>
          <w:p w:rsidR="00261175" w:rsidRDefault="00261175" w:rsidP="00AC5010">
            <w:r>
              <w:t>10</w:t>
            </w:r>
            <w:r>
              <w:rPr>
                <w:rFonts w:cs="宋体" w:hint="eastAsia"/>
              </w:rPr>
              <w:t>）使用环境及条件：温度</w:t>
            </w:r>
            <w:r>
              <w:rPr>
                <w:rFonts w:cs="宋体"/>
              </w:rPr>
              <w:t xml:space="preserve"> 0</w:t>
            </w:r>
            <w:r>
              <w:rPr>
                <w:rFonts w:cs="宋体" w:hint="eastAsia"/>
              </w:rPr>
              <w:t>℃～</w:t>
            </w:r>
            <w:r>
              <w:rPr>
                <w:rFonts w:cs="宋体"/>
              </w:rPr>
              <w:t>40</w:t>
            </w:r>
            <w:r>
              <w:rPr>
                <w:rFonts w:cs="宋体" w:hint="eastAsia"/>
              </w:rPr>
              <w:t>℃，相对湿度（非冷凝）</w:t>
            </w:r>
            <w:r>
              <w:rPr>
                <w:rFonts w:cs="宋体"/>
              </w:rPr>
              <w:t>10-90%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5" w:rsidRDefault="00261175" w:rsidP="00AC5010"/>
        </w:tc>
      </w:tr>
    </w:tbl>
    <w:tbl>
      <w:tblPr>
        <w:tblpPr w:leftFromText="180" w:rightFromText="180" w:vertAnchor="text" w:horzAnchor="page" w:tblpX="1780" w:tblpY="8104"/>
        <w:tblOverlap w:val="never"/>
        <w:tblW w:w="0" w:type="auto"/>
        <w:tblLayout w:type="fixed"/>
        <w:tblLook w:val="0000"/>
      </w:tblPr>
      <w:tblGrid>
        <w:gridCol w:w="613"/>
        <w:gridCol w:w="825"/>
        <w:gridCol w:w="6724"/>
        <w:gridCol w:w="726"/>
      </w:tblGrid>
      <w:tr w:rsidR="00261175" w:rsidTr="00AC5010">
        <w:trPr>
          <w:trHeight w:hRule="exact" w:val="52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>
            <w:pPr>
              <w:rPr>
                <w:rFonts w:cs="宋体"/>
              </w:rPr>
            </w:pPr>
            <w: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/>
          <w:p w:rsidR="00261175" w:rsidRDefault="00261175" w:rsidP="00AC5010">
            <w:r>
              <w:rPr>
                <w:rFonts w:cs="宋体" w:hint="eastAsia"/>
              </w:rPr>
              <w:t>电脑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1</w:t>
            </w:r>
            <w:r>
              <w:rPr>
                <w:rFonts w:cs="宋体" w:hint="eastAsia"/>
              </w:rPr>
              <w:t>）数量：</w:t>
            </w:r>
            <w:r>
              <w:t>1</w:t>
            </w:r>
            <w:r>
              <w:rPr>
                <w:rFonts w:cs="宋体" w:hint="eastAsia"/>
              </w:rPr>
              <w:t>台台式机和</w:t>
            </w:r>
            <w:r>
              <w:rPr>
                <w:rFonts w:cs="宋体"/>
              </w:rPr>
              <w:t xml:space="preserve"> </w:t>
            </w:r>
            <w:r>
              <w:t>1</w:t>
            </w:r>
            <w:r>
              <w:rPr>
                <w:rFonts w:cs="宋体" w:hint="eastAsia"/>
              </w:rPr>
              <w:t>台显示器；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83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2</w:t>
            </w:r>
            <w:r>
              <w:rPr>
                <w:rFonts w:cs="宋体" w:hint="eastAsia"/>
              </w:rPr>
              <w:t>）</w:t>
            </w:r>
            <w:r>
              <w:rPr>
                <w:rFonts w:cs="宋体"/>
              </w:rPr>
              <w:t>CPU</w:t>
            </w:r>
            <w:r>
              <w:rPr>
                <w:rFonts w:cs="宋体" w:hint="eastAsia"/>
              </w:rPr>
              <w:t>：</w:t>
            </w:r>
            <w:r>
              <w:rPr>
                <w:rFonts w:cs="宋体"/>
              </w:rPr>
              <w:t>Intel</w:t>
            </w:r>
            <w:r>
              <w:tab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885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3</w:t>
            </w:r>
            <w:r>
              <w:rPr>
                <w:rFonts w:cs="宋体" w:hint="eastAsia"/>
              </w:rPr>
              <w:t>）内存：</w:t>
            </w:r>
            <w:r>
              <w:rPr>
                <w:rFonts w:cs="宋体"/>
              </w:rPr>
              <w:t>32G DDR4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52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4</w:t>
            </w:r>
            <w:r>
              <w:rPr>
                <w:rFonts w:cs="宋体" w:hint="eastAsia"/>
              </w:rPr>
              <w:t>）显卡：</w:t>
            </w:r>
            <w:r>
              <w:rPr>
                <w:rFonts w:cs="宋体"/>
              </w:rPr>
              <w:t xml:space="preserve"> 8GB</w:t>
            </w:r>
            <w:r>
              <w:rPr>
                <w:rFonts w:cs="宋体" w:hint="eastAsia"/>
              </w:rPr>
              <w:t>；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70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5</w:t>
            </w:r>
            <w:r>
              <w:rPr>
                <w:rFonts w:cs="宋体" w:hint="eastAsia"/>
              </w:rPr>
              <w:t>）硬盘：</w:t>
            </w:r>
            <w:r>
              <w:rPr>
                <w:rFonts w:cs="宋体"/>
              </w:rPr>
              <w:t xml:space="preserve">1TB </w:t>
            </w:r>
            <w:r>
              <w:rPr>
                <w:rFonts w:cs="宋体" w:hint="eastAsia"/>
              </w:rPr>
              <w:t>；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52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6</w:t>
            </w:r>
            <w:r>
              <w:rPr>
                <w:rFonts w:cs="宋体" w:hint="eastAsia"/>
              </w:rPr>
              <w:t>）显示器</w:t>
            </w:r>
            <w:r>
              <w:rPr>
                <w:rFonts w:cs="宋体"/>
              </w:rPr>
              <w:t>:23"</w:t>
            </w:r>
            <w:r>
              <w:rPr>
                <w:rFonts w:cs="宋体" w:hint="eastAsia"/>
              </w:rPr>
              <w:t>宽屏</w:t>
            </w:r>
            <w:r>
              <w:rPr>
                <w:rFonts w:cs="宋体"/>
              </w:rPr>
              <w:t xml:space="preserve"> 16:9 LED </w:t>
            </w:r>
            <w:r>
              <w:rPr>
                <w:rFonts w:cs="宋体" w:hint="eastAsia"/>
              </w:rPr>
              <w:t>背光液晶显示器；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  <w:tr w:rsidR="00261175" w:rsidTr="00AC5010">
        <w:trPr>
          <w:trHeight w:hRule="exact" w:val="82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>
            <w:r>
              <w:t>7</w:t>
            </w:r>
            <w:r>
              <w:rPr>
                <w:rFonts w:cs="宋体" w:hint="eastAsia"/>
              </w:rPr>
              <w:t>）</w:t>
            </w:r>
            <w:r>
              <w:rPr>
                <w:rFonts w:cs="宋体"/>
              </w:rPr>
              <w:t xml:space="preserve">Windows 7 Professional 64 </w:t>
            </w:r>
            <w:r>
              <w:rPr>
                <w:rFonts w:cs="宋体" w:hint="eastAsia"/>
              </w:rPr>
              <w:t>操作系统。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75" w:rsidRDefault="00261175" w:rsidP="00AC5010"/>
        </w:tc>
      </w:tr>
    </w:tbl>
    <w:p w:rsidR="00261175" w:rsidRDefault="00261175" w:rsidP="00261175"/>
    <w:p w:rsidR="00261175" w:rsidRDefault="00261175" w:rsidP="00261175"/>
    <w:p w:rsidR="00261175" w:rsidRDefault="00261175" w:rsidP="00261175"/>
    <w:p w:rsidR="00261175" w:rsidRDefault="00261175" w:rsidP="00261175">
      <w:pPr>
        <w:rPr>
          <w:rFonts w:cs="宋体"/>
        </w:rPr>
      </w:pPr>
      <w:r>
        <w:rPr>
          <w:rFonts w:cs="宋体" w:hint="eastAsia"/>
        </w:rPr>
        <w:t>注：星号项目为必达标项。</w:t>
      </w:r>
    </w:p>
    <w:p w:rsidR="00BE000F" w:rsidRDefault="00BE000F">
      <w:pPr>
        <w:spacing w:line="300" w:lineRule="auto"/>
        <w:ind w:firstLine="420"/>
        <w:rPr>
          <w:rFonts w:ascii="Times New Roman" w:eastAsia="Times New Roman" w:hAnsi="Times New Roman"/>
          <w:color w:val="000000"/>
        </w:rPr>
      </w:pPr>
    </w:p>
    <w:sectPr w:rsidR="00BE000F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38" w:rsidRDefault="00886538" w:rsidP="00CC3107">
      <w:r>
        <w:separator/>
      </w:r>
    </w:p>
  </w:endnote>
  <w:endnote w:type="continuationSeparator" w:id="0">
    <w:p w:rsidR="00886538" w:rsidRDefault="00886538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38" w:rsidRDefault="00886538" w:rsidP="00CC3107">
      <w:r>
        <w:separator/>
      </w:r>
    </w:p>
  </w:footnote>
  <w:footnote w:type="continuationSeparator" w:id="0">
    <w:p w:rsidR="00886538" w:rsidRDefault="00886538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3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4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E79E0"/>
    <w:rsid w:val="00261175"/>
    <w:rsid w:val="00283EBF"/>
    <w:rsid w:val="00526804"/>
    <w:rsid w:val="00886538"/>
    <w:rsid w:val="0092748A"/>
    <w:rsid w:val="00A2297E"/>
    <w:rsid w:val="00B1784E"/>
    <w:rsid w:val="00BE000F"/>
    <w:rsid w:val="00CC3107"/>
    <w:rsid w:val="00CC3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7</cp:revision>
  <dcterms:created xsi:type="dcterms:W3CDTF">2018-09-14T00:25:00Z</dcterms:created>
  <dcterms:modified xsi:type="dcterms:W3CDTF">2018-09-17T01:43:00Z</dcterms:modified>
</cp:coreProperties>
</file>