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DF" w:rsidRDefault="00C41FDF" w:rsidP="00C41FDF">
      <w:pPr>
        <w:jc w:val="center"/>
        <w:rPr>
          <w:b/>
          <w:sz w:val="28"/>
          <w:szCs w:val="28"/>
        </w:rPr>
      </w:pPr>
      <w:r w:rsidRPr="00A4181A">
        <w:rPr>
          <w:rFonts w:hint="eastAsia"/>
          <w:b/>
          <w:sz w:val="28"/>
          <w:szCs w:val="28"/>
        </w:rPr>
        <w:t>设备技术参数</w:t>
      </w:r>
    </w:p>
    <w:p w:rsidR="007E0A59" w:rsidRDefault="007E0A59" w:rsidP="007E0A59">
      <w:pPr>
        <w:spacing w:line="440" w:lineRule="exact"/>
        <w:rPr>
          <w:rFonts w:ascii="宋体" w:hAnsi="宋体" w:cs="Arial"/>
          <w:sz w:val="24"/>
          <w:szCs w:val="24"/>
        </w:rPr>
      </w:pPr>
    </w:p>
    <w:p w:rsidR="00497F84" w:rsidRPr="00B0321D" w:rsidRDefault="00497F84" w:rsidP="00497F84">
      <w:pPr>
        <w:spacing w:line="480" w:lineRule="exact"/>
        <w:rPr>
          <w:rFonts w:ascii="宋体" w:hAnsi="宋体" w:hint="eastAsia"/>
          <w:sz w:val="24"/>
        </w:rPr>
      </w:pPr>
      <w:r w:rsidRPr="00B0321D">
        <w:rPr>
          <w:rFonts w:hint="eastAsia"/>
          <w:sz w:val="24"/>
        </w:rPr>
        <w:t>双三元梯度液相色谱</w:t>
      </w:r>
      <w:r w:rsidRPr="00B0321D">
        <w:rPr>
          <w:rFonts w:ascii="宋体" w:hAnsi="宋体" w:hint="eastAsia"/>
          <w:sz w:val="24"/>
        </w:rPr>
        <w:t>：1台。液相色谱系统，包括流动相瓶、双梯度泵（6个独立通道脱气机）、多柱位柱温箱、二极管阵列检测器、全自动进样系统等。必须可实现并联式双系统分析和在线SPE样品前处理、自动切换不同应用体系，支持二维色谱。</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 xml:space="preserve">2主要技术参数： </w:t>
      </w:r>
    </w:p>
    <w:p w:rsidR="00497F84" w:rsidRPr="00B0321D" w:rsidRDefault="00497F84" w:rsidP="00497F84">
      <w:pPr>
        <w:spacing w:line="480" w:lineRule="exact"/>
        <w:rPr>
          <w:rFonts w:ascii="宋体" w:hAnsi="宋体"/>
          <w:sz w:val="24"/>
        </w:rPr>
      </w:pP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w:t>
      </w:r>
      <w:r w:rsidRPr="00B0321D">
        <w:rPr>
          <w:rFonts w:ascii="宋体" w:hAnsi="宋体" w:hint="eastAsia"/>
          <w:sz w:val="24"/>
        </w:rPr>
        <w:tab/>
        <w:t>双梯度泵</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.1.1</w:t>
      </w:r>
      <w:r w:rsidRPr="00B0321D">
        <w:rPr>
          <w:rFonts w:ascii="宋体" w:hAnsi="宋体" w:hint="eastAsia"/>
          <w:sz w:val="24"/>
        </w:rPr>
        <w:tab/>
        <w:t>工作原理：串联双柱塞</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.1.2</w:t>
      </w:r>
      <w:r w:rsidRPr="00B0321D">
        <w:rPr>
          <w:rFonts w:ascii="宋体" w:hAnsi="宋体" w:hint="eastAsia"/>
          <w:sz w:val="24"/>
        </w:rPr>
        <w:tab/>
        <w:t>通道数量：6个</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.1.3</w:t>
      </w:r>
      <w:r w:rsidRPr="00B0321D">
        <w:rPr>
          <w:rFonts w:ascii="宋体" w:hAnsi="宋体" w:hint="eastAsia"/>
          <w:sz w:val="24"/>
        </w:rPr>
        <w:tab/>
        <w:t>流量范围：0.001~10.000 mL/min，步进0.001 mL/min</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.1.4</w:t>
      </w:r>
      <w:r w:rsidRPr="00B0321D">
        <w:rPr>
          <w:rFonts w:ascii="宋体" w:hAnsi="宋体" w:hint="eastAsia"/>
          <w:sz w:val="24"/>
        </w:rPr>
        <w:tab/>
        <w:t>最大压力：62Mpa  (600 bar, 9,000 psi)</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.1.5</w:t>
      </w:r>
      <w:r w:rsidRPr="00B0321D">
        <w:rPr>
          <w:rFonts w:ascii="宋体" w:hAnsi="宋体" w:hint="eastAsia"/>
          <w:sz w:val="24"/>
        </w:rPr>
        <w:tab/>
        <w:t>压力波动：&lt;0.2 MPa or &lt;1%</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.1.6</w:t>
      </w:r>
      <w:r w:rsidRPr="00B0321D">
        <w:rPr>
          <w:rFonts w:ascii="宋体" w:hAnsi="宋体" w:hint="eastAsia"/>
          <w:sz w:val="24"/>
        </w:rPr>
        <w:tab/>
        <w:t>流量准确度：±0.1%</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.1.7</w:t>
      </w:r>
      <w:r w:rsidRPr="00B0321D">
        <w:rPr>
          <w:rFonts w:ascii="宋体" w:hAnsi="宋体" w:hint="eastAsia"/>
          <w:sz w:val="24"/>
        </w:rPr>
        <w:tab/>
        <w:t>流量精密度：&lt;0.05% RSD or &lt;0.01 min SD</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.1.8</w:t>
      </w:r>
      <w:r w:rsidRPr="00B0321D">
        <w:rPr>
          <w:rFonts w:ascii="宋体" w:hAnsi="宋体" w:hint="eastAsia"/>
          <w:sz w:val="24"/>
        </w:rPr>
        <w:tab/>
        <w:t>梯度准确度：±0.5%（全流域范围内）</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.1.9</w:t>
      </w:r>
      <w:r w:rsidRPr="00B0321D">
        <w:rPr>
          <w:rFonts w:ascii="宋体" w:hAnsi="宋体" w:hint="eastAsia"/>
          <w:sz w:val="24"/>
        </w:rPr>
        <w:tab/>
        <w:t>梯度精密度：&lt; 0.15%SD</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.1.10</w:t>
      </w:r>
      <w:r w:rsidRPr="00B0321D">
        <w:rPr>
          <w:rFonts w:ascii="宋体" w:hAnsi="宋体" w:hint="eastAsia"/>
          <w:sz w:val="24"/>
        </w:rPr>
        <w:tab/>
        <w:t>泵清洗系统：主动式单独流路清洗柱塞</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.1.11</w:t>
      </w:r>
      <w:r w:rsidRPr="00B0321D">
        <w:rPr>
          <w:rFonts w:ascii="宋体" w:hAnsi="宋体" w:hint="eastAsia"/>
          <w:sz w:val="24"/>
        </w:rPr>
        <w:tab/>
        <w:t>液滴计数器：自动监控泵漏液情况和泵清洗液情况</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.1.12</w:t>
      </w:r>
      <w:r w:rsidRPr="00B0321D">
        <w:rPr>
          <w:rFonts w:ascii="宋体" w:hAnsi="宋体" w:hint="eastAsia"/>
          <w:sz w:val="24"/>
        </w:rPr>
        <w:tab/>
        <w:t>溶剂脱气：在线6通道脱气系统</w:t>
      </w:r>
    </w:p>
    <w:p w:rsidR="00497F84" w:rsidRPr="00B0321D" w:rsidRDefault="00497F84" w:rsidP="00497F84">
      <w:pPr>
        <w:spacing w:line="480" w:lineRule="exact"/>
        <w:rPr>
          <w:rFonts w:ascii="宋体" w:hAnsi="宋体"/>
          <w:sz w:val="24"/>
        </w:rPr>
      </w:pP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.2</w:t>
      </w:r>
      <w:r w:rsidRPr="00B0321D">
        <w:rPr>
          <w:rFonts w:ascii="宋体" w:hAnsi="宋体" w:hint="eastAsia"/>
          <w:sz w:val="24"/>
        </w:rPr>
        <w:tab/>
        <w:t>自动进样器：</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.2.1</w:t>
      </w:r>
      <w:r w:rsidRPr="00B0321D">
        <w:rPr>
          <w:rFonts w:ascii="宋体" w:hAnsi="宋体" w:hint="eastAsia"/>
          <w:sz w:val="24"/>
        </w:rPr>
        <w:tab/>
        <w:t>样品瓶位：10 mL 3 x 5 位和2.0 mL 3 x 40 位或者1.8 mL 3 x 40 位或者1.2 mL 3 x 72位或者0.3 mL3 x 72 位或者4 mL 3 x 22 位或者10 mL 3 x 10 位或者3 x 96孔板（常规、深孔）或者3 x 384 孔板（常规、深孔）</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.2.2</w:t>
      </w:r>
      <w:r w:rsidRPr="00B0321D">
        <w:rPr>
          <w:rFonts w:ascii="宋体" w:hAnsi="宋体" w:hint="eastAsia"/>
          <w:sz w:val="24"/>
        </w:rPr>
        <w:tab/>
        <w:t>进样方式：流经针环模式，无样品损失，无残留</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.2.3</w:t>
      </w:r>
      <w:r w:rsidRPr="00B0321D">
        <w:rPr>
          <w:rFonts w:ascii="宋体" w:hAnsi="宋体" w:hint="eastAsia"/>
          <w:sz w:val="24"/>
        </w:rPr>
        <w:tab/>
        <w:t>进样体积：0.01~100μL</w:t>
      </w:r>
    </w:p>
    <w:p w:rsidR="00497F84" w:rsidRPr="00B0321D" w:rsidRDefault="00497F84" w:rsidP="00497F84">
      <w:pPr>
        <w:spacing w:line="480" w:lineRule="exact"/>
        <w:rPr>
          <w:rFonts w:ascii="宋体" w:hAnsi="宋体" w:hint="eastAsia"/>
          <w:sz w:val="24"/>
        </w:rPr>
      </w:pPr>
      <w:r w:rsidRPr="00B0321D">
        <w:rPr>
          <w:rFonts w:ascii="宋体" w:hAnsi="宋体"/>
          <w:sz w:val="24"/>
        </w:rPr>
        <w:lastRenderedPageBreak/>
        <w:t>2</w:t>
      </w:r>
      <w:r w:rsidRPr="00B0321D">
        <w:rPr>
          <w:rFonts w:ascii="宋体" w:hAnsi="宋体" w:hint="eastAsia"/>
          <w:sz w:val="24"/>
        </w:rPr>
        <w:t>.2.4</w:t>
      </w:r>
      <w:r w:rsidRPr="00B0321D">
        <w:rPr>
          <w:rFonts w:ascii="宋体" w:hAnsi="宋体" w:hint="eastAsia"/>
          <w:sz w:val="24"/>
        </w:rPr>
        <w:tab/>
        <w:t>进样准确度：± 0.5% 在50 和90 μL时</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.2.5</w:t>
      </w:r>
      <w:r w:rsidRPr="00B0321D">
        <w:rPr>
          <w:rFonts w:ascii="宋体" w:hAnsi="宋体" w:hint="eastAsia"/>
          <w:sz w:val="24"/>
        </w:rPr>
        <w:tab/>
        <w:t>进样量精度：&lt;0.25% RSD 在5 μL时，(典型值&lt;0.15% RSD)，咖啡因</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.2.6</w:t>
      </w:r>
      <w:r w:rsidRPr="00B0321D">
        <w:rPr>
          <w:rFonts w:ascii="宋体" w:hAnsi="宋体" w:hint="eastAsia"/>
          <w:sz w:val="24"/>
        </w:rPr>
        <w:tab/>
        <w:t>交叉污染：0.004%咖啡因测试在200 bar压力下</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.2.7</w:t>
      </w:r>
      <w:r w:rsidRPr="00B0321D">
        <w:rPr>
          <w:rFonts w:ascii="宋体" w:hAnsi="宋体" w:hint="eastAsia"/>
          <w:sz w:val="24"/>
        </w:rPr>
        <w:tab/>
        <w:t xml:space="preserve">最大耐压：62MPa (600 bar, 9,000 psi) </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.2.8</w:t>
      </w:r>
      <w:r w:rsidRPr="00B0321D">
        <w:rPr>
          <w:rFonts w:ascii="宋体" w:hAnsi="宋体" w:hint="eastAsia"/>
          <w:sz w:val="24"/>
        </w:rPr>
        <w:tab/>
        <w:t xml:space="preserve">进样周期：&lt; 15s 当 5 μL时  </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.2.9</w:t>
      </w:r>
      <w:r w:rsidRPr="00B0321D">
        <w:rPr>
          <w:rFonts w:ascii="宋体" w:hAnsi="宋体" w:hint="eastAsia"/>
          <w:sz w:val="24"/>
        </w:rPr>
        <w:tab/>
        <w:t>自动防沉淀振摇及进样盘侧移功能</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.2.10</w:t>
      </w:r>
      <w:r w:rsidRPr="00B0321D">
        <w:rPr>
          <w:rFonts w:ascii="宋体" w:hAnsi="宋体" w:hint="eastAsia"/>
          <w:sz w:val="24"/>
        </w:rPr>
        <w:tab/>
        <w:t>在线稀释和在线衍生功能</w:t>
      </w:r>
    </w:p>
    <w:p w:rsidR="00497F84" w:rsidRPr="00B0321D" w:rsidRDefault="00497F84" w:rsidP="00497F84">
      <w:pPr>
        <w:spacing w:line="480" w:lineRule="exact"/>
        <w:rPr>
          <w:rFonts w:ascii="宋体" w:hAnsi="宋体"/>
          <w:sz w:val="24"/>
        </w:rPr>
      </w:pP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w:t>
      </w:r>
      <w:r w:rsidRPr="00B0321D">
        <w:rPr>
          <w:rFonts w:ascii="宋体" w:hAnsi="宋体" w:hint="eastAsia"/>
          <w:sz w:val="24"/>
        </w:rPr>
        <w:tab/>
        <w:t>柱温箱</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.3.1</w:t>
      </w:r>
      <w:r w:rsidRPr="00B0321D">
        <w:rPr>
          <w:rFonts w:ascii="宋体" w:hAnsi="宋体" w:hint="eastAsia"/>
          <w:sz w:val="24"/>
        </w:rPr>
        <w:tab/>
        <w:t>安全性能：防止误开门功能，内置温度、湿度、气体传感器，在线监测漏液情况。</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.3.2</w:t>
      </w:r>
      <w:r w:rsidRPr="00B0321D">
        <w:rPr>
          <w:rFonts w:ascii="宋体" w:hAnsi="宋体" w:hint="eastAsia"/>
          <w:sz w:val="24"/>
        </w:rPr>
        <w:tab/>
        <w:t>控温原理：帕尔贴结合空气循环模式</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.3.3</w:t>
      </w:r>
      <w:r w:rsidRPr="00B0321D">
        <w:rPr>
          <w:rFonts w:ascii="宋体" w:hAnsi="宋体" w:hint="eastAsia"/>
          <w:sz w:val="24"/>
        </w:rPr>
        <w:tab/>
        <w:t>温控范围：5~80℃</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.3.4</w:t>
      </w:r>
      <w:r w:rsidRPr="00B0321D">
        <w:rPr>
          <w:rFonts w:ascii="宋体" w:hAnsi="宋体" w:hint="eastAsia"/>
          <w:sz w:val="24"/>
        </w:rPr>
        <w:tab/>
        <w:t xml:space="preserve">温度准确度：±0.5℃  </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.3.5</w:t>
      </w:r>
      <w:r w:rsidRPr="00B0321D">
        <w:rPr>
          <w:rFonts w:ascii="宋体" w:hAnsi="宋体" w:hint="eastAsia"/>
          <w:sz w:val="24"/>
        </w:rPr>
        <w:tab/>
        <w:t>温度稳定性：±0.1℃</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.3.6</w:t>
      </w:r>
      <w:r w:rsidRPr="00B0321D">
        <w:rPr>
          <w:rFonts w:ascii="宋体" w:hAnsi="宋体" w:hint="eastAsia"/>
          <w:sz w:val="24"/>
        </w:rPr>
        <w:tab/>
        <w:t>容量：最多12支色谱柱，最长30cm</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.3.7</w:t>
      </w:r>
      <w:r w:rsidRPr="00B0321D">
        <w:rPr>
          <w:rFonts w:ascii="宋体" w:hAnsi="宋体" w:hint="eastAsia"/>
          <w:sz w:val="24"/>
        </w:rPr>
        <w:tab/>
        <w:t>升温速率：典型值12 min 从 20°C 升温至50°C</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.3.8</w:t>
      </w:r>
      <w:r w:rsidRPr="00B0321D">
        <w:rPr>
          <w:rFonts w:ascii="宋体" w:hAnsi="宋体" w:hint="eastAsia"/>
          <w:sz w:val="24"/>
        </w:rPr>
        <w:tab/>
        <w:t>降温速率：典型值15 min 从 50°C 降温至20°C</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.3.9</w:t>
      </w:r>
      <w:r w:rsidRPr="00B0321D">
        <w:rPr>
          <w:rFonts w:ascii="宋体" w:hAnsi="宋体" w:hint="eastAsia"/>
          <w:sz w:val="24"/>
        </w:rPr>
        <w:tab/>
        <w:t>预留额外的两个六通阀或十通阀位置，可用于在线样品前处理等应用</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.3.10</w:t>
      </w:r>
      <w:r w:rsidRPr="00B0321D">
        <w:rPr>
          <w:rFonts w:ascii="宋体" w:hAnsi="宋体" w:hint="eastAsia"/>
          <w:sz w:val="24"/>
        </w:rPr>
        <w:tab/>
        <w:t>管线接头：不锈钢或MP35N材质，耐压1000bar以上，零死体积接口，无需工具手旋拧紧方式，接头与任意主流厂商色谱柱完全匹配不漏液。</w:t>
      </w:r>
    </w:p>
    <w:p w:rsidR="00497F84" w:rsidRPr="00B0321D" w:rsidRDefault="00497F84" w:rsidP="00497F84">
      <w:pPr>
        <w:spacing w:line="480" w:lineRule="exact"/>
        <w:rPr>
          <w:rFonts w:ascii="宋体" w:hAnsi="宋体"/>
          <w:sz w:val="24"/>
        </w:rPr>
      </w:pP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w:t>
      </w:r>
      <w:r w:rsidRPr="00B0321D">
        <w:rPr>
          <w:rFonts w:ascii="宋体" w:hAnsi="宋体" w:hint="eastAsia"/>
          <w:sz w:val="24"/>
        </w:rPr>
        <w:tab/>
        <w:t>二极管阵列检测器</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.4.1</w:t>
      </w:r>
      <w:r w:rsidRPr="00B0321D">
        <w:rPr>
          <w:rFonts w:ascii="宋体" w:hAnsi="宋体" w:hint="eastAsia"/>
          <w:sz w:val="24"/>
        </w:rPr>
        <w:tab/>
        <w:t>二极管数：1024</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.4.2</w:t>
      </w:r>
      <w:r w:rsidRPr="00B0321D">
        <w:rPr>
          <w:rFonts w:ascii="宋体" w:hAnsi="宋体" w:hint="eastAsia"/>
          <w:sz w:val="24"/>
        </w:rPr>
        <w:tab/>
        <w:t>波长范围：190-800 nm</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.4.3</w:t>
      </w:r>
      <w:r w:rsidRPr="00B0321D">
        <w:rPr>
          <w:rFonts w:ascii="宋体" w:hAnsi="宋体" w:hint="eastAsia"/>
          <w:sz w:val="24"/>
        </w:rPr>
        <w:tab/>
        <w:t>波长准确度：± 1 nm</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.4.4</w:t>
      </w:r>
      <w:r w:rsidRPr="00B0321D">
        <w:rPr>
          <w:rFonts w:ascii="宋体" w:hAnsi="宋体" w:hint="eastAsia"/>
          <w:sz w:val="24"/>
        </w:rPr>
        <w:tab/>
        <w:t>波长精密度：± 0.1 nm</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.4.5</w:t>
      </w:r>
      <w:r w:rsidRPr="00B0321D">
        <w:rPr>
          <w:rFonts w:ascii="宋体" w:hAnsi="宋体" w:hint="eastAsia"/>
          <w:sz w:val="24"/>
        </w:rPr>
        <w:tab/>
        <w:t>分辨率：&lt;1 nm (~0.6 nm)</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.4.6</w:t>
      </w:r>
      <w:r w:rsidRPr="00B0321D">
        <w:rPr>
          <w:rFonts w:ascii="宋体" w:hAnsi="宋体" w:hint="eastAsia"/>
          <w:sz w:val="24"/>
        </w:rPr>
        <w:tab/>
        <w:t>带宽：2.5 nm 在254 nm下</w:t>
      </w:r>
    </w:p>
    <w:p w:rsidR="00497F84" w:rsidRPr="00B0321D" w:rsidRDefault="00497F84" w:rsidP="00497F84">
      <w:pPr>
        <w:spacing w:line="480" w:lineRule="exact"/>
        <w:rPr>
          <w:rFonts w:ascii="宋体" w:hAnsi="宋体" w:hint="eastAsia"/>
          <w:sz w:val="24"/>
        </w:rPr>
      </w:pPr>
      <w:r w:rsidRPr="00B0321D">
        <w:rPr>
          <w:rFonts w:ascii="宋体" w:hAnsi="宋体"/>
          <w:sz w:val="24"/>
        </w:rPr>
        <w:lastRenderedPageBreak/>
        <w:t>2</w:t>
      </w:r>
      <w:r w:rsidRPr="00B0321D">
        <w:rPr>
          <w:rFonts w:ascii="宋体" w:hAnsi="宋体" w:hint="eastAsia"/>
          <w:sz w:val="24"/>
        </w:rPr>
        <w:t>.4.7</w:t>
      </w:r>
      <w:r w:rsidRPr="00B0321D">
        <w:rPr>
          <w:rFonts w:ascii="宋体" w:hAnsi="宋体" w:hint="eastAsia"/>
          <w:sz w:val="24"/>
        </w:rPr>
        <w:tab/>
        <w:t>通道数：8 + 3D UV 光谱扫描</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.4.8</w:t>
      </w:r>
      <w:r w:rsidRPr="00B0321D">
        <w:rPr>
          <w:rFonts w:ascii="宋体" w:hAnsi="宋体" w:hint="eastAsia"/>
          <w:sz w:val="24"/>
        </w:rPr>
        <w:tab/>
        <w:t>灯：氘灯、钨灯，均具温度监控功能，自动识别包括序列号在内的所有信息</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.4.9</w:t>
      </w:r>
      <w:r w:rsidRPr="00B0321D">
        <w:rPr>
          <w:rFonts w:ascii="宋体" w:hAnsi="宋体" w:hint="eastAsia"/>
          <w:sz w:val="24"/>
        </w:rPr>
        <w:tab/>
        <w:t>数据采集频率：100HZ；3D模式下也是100Hz</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.4.10</w:t>
      </w:r>
      <w:r w:rsidRPr="00B0321D">
        <w:rPr>
          <w:rFonts w:ascii="宋体" w:hAnsi="宋体" w:hint="eastAsia"/>
          <w:sz w:val="24"/>
        </w:rPr>
        <w:tab/>
        <w:t>自动校正：D-alpha线法自校正，氧化钬滤光器验证</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.4.11</w:t>
      </w:r>
      <w:r w:rsidRPr="00B0321D">
        <w:rPr>
          <w:rFonts w:ascii="宋体" w:hAnsi="宋体" w:hint="eastAsia"/>
          <w:sz w:val="24"/>
        </w:rPr>
        <w:tab/>
        <w:t xml:space="preserve">噪声：&lt; ±8 µAU 在254 nm </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.4.12</w:t>
      </w:r>
      <w:r w:rsidRPr="00B0321D">
        <w:rPr>
          <w:rFonts w:ascii="宋体" w:hAnsi="宋体" w:hint="eastAsia"/>
          <w:sz w:val="24"/>
        </w:rPr>
        <w:tab/>
        <w:t>漂移：&lt; 1 mAU/h (典型值 &lt; 0.5 mAU/h)  在254 and 520 nm下</w:t>
      </w:r>
    </w:p>
    <w:p w:rsidR="00497F84" w:rsidRPr="00B0321D" w:rsidRDefault="00497F84" w:rsidP="00497F84">
      <w:pPr>
        <w:spacing w:line="480" w:lineRule="exact"/>
        <w:rPr>
          <w:rFonts w:ascii="宋体" w:hAnsi="宋体"/>
          <w:sz w:val="24"/>
        </w:rPr>
      </w:pP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 xml:space="preserve">  软件:</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.1 数据库：支持甲骨文或者SQL Server关系型数据库，全面保障数据的完整性和安全性。原始数据、仪器条件和处理参数等信息的关联由软件自动建立，用户无需记忆就能找到相应的信息。支持多种查询条件的组合，支持模糊查找与精确查找。</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.2 仪器控制：可以控制多个仪器厂商的多种HPLC、 LC和GC仪器，实现完全的双向控制、广泛的命令选项和详细的事件追踪。可以双向连接（仪器控制和数据采集）原厂生产的紫外检测器、二极管阵列检测器、荧光检测器、电雾式检测器、单级质谱以及串级质谱等液相检测器，也可双向连接（仪器控制和数据采集）原厂生产的离子色谱、气相色谱和气质联用仪。</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.3 缩略图：在查看已运行完成的样品队列时，无需打开色谱文件，即可通过缩略图查看样品色谱图，实现快速浏览</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.4 图形化功能：在查看数据时，可直接将数据转化为直观的图形（如折线图、棒状图、饼图、气泡图等）进行查看，也可将图形置于报告中；无需将数据导出到Excel里进行图形化处理</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.5 动态数据处理：可查看序列中任意的色谱图、光谱图、校正曲线、方法设置和结果。当处理方法参数发生变化时，无需重新手工执行积分处理，所有相关的图会即时自动更新。用于快速有效优化积分、校准和报告并进行查看。</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.6 导入与导出：可将数据导出为通用色谱数据格式（AIA、TXT、CSV和GAML等）。</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lastRenderedPageBreak/>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.7 数据报告：集成了电子表格功能，无需特别培训即可掌握报告模版、自定义变量的编辑。支持单个报告和综合报告。报告模板可包含多项内容，例如积分、校准、峰分析、审计追踪等。支持多种格式（PDF、Excel等格式）的输出。</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.8 内置分析方法验证、溶出度计算以及含量均匀度测试的模板，无需借助第三方软件即可直接得到结果。</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.9 智选积分：当积分向导无法给出满意的积分结果，需要做积分调整时，智选积分功能给出最多10个优化的备选积分方案，用户只需选择恰当的积分方案即可，无需用户自行调整积分参数，积分操作被极大简化，用户上手更快。</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t>
      </w: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.9</w:t>
      </w:r>
      <w:r w:rsidRPr="00B0321D">
        <w:rPr>
          <w:rFonts w:ascii="宋体" w:hAnsi="宋体" w:hint="eastAsia"/>
          <w:sz w:val="24"/>
        </w:rPr>
        <w:tab/>
        <w:t>克隆流程：软件官网已有数千个克隆流程文件供用户免费使用。即使新手用户也无需学习如何创建分析方法、积分方法、编辑序列、编辑模版、生成报告就能得到实验结果。只需从软件官网下载待测样品的克隆流程文件并导入到用户软件工作站，即可得到自动生成的样品分析序列，点击提交序列即得分析结果。从而极大减少了用户学习软件操作时间摸索分析方法时间，提高效率。</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.11 支持EP、JP、USP以及ChP的系统适应性参数计算，并可基于预定的参数、计算结果等进行判断，得到通过或者失败的结论后进行指定的相应操作，例如插入进样，重新运行整个样品队列或者选择部分样品进行重新进样等；也可以无条件地执行特定操作</w:t>
      </w:r>
    </w:p>
    <w:p w:rsidR="00497F84" w:rsidRPr="00B0321D" w:rsidRDefault="00497F84" w:rsidP="00497F84">
      <w:pPr>
        <w:spacing w:line="480" w:lineRule="exact"/>
        <w:rPr>
          <w:rFonts w:ascii="宋体" w:hAnsi="宋体" w:hint="eastAsia"/>
          <w:sz w:val="24"/>
        </w:rPr>
      </w:pPr>
      <w:r w:rsidRPr="00B0321D">
        <w:rPr>
          <w:rFonts w:ascii="宋体" w:hAnsi="宋体"/>
          <w:sz w:val="24"/>
        </w:rPr>
        <w:t>2</w:t>
      </w:r>
      <w:r w:rsidRPr="00B0321D">
        <w:rPr>
          <w:rFonts w:ascii="宋体" w:hAnsi="宋体" w:hint="eastAsia"/>
          <w:sz w:val="24"/>
        </w:rPr>
        <w:t>.</w:t>
      </w:r>
      <w:r>
        <w:rPr>
          <w:rFonts w:ascii="宋体" w:hAnsi="宋体"/>
          <w:sz w:val="24"/>
        </w:rPr>
        <w:t>5</w:t>
      </w:r>
      <w:r w:rsidRPr="00B0321D">
        <w:rPr>
          <w:rFonts w:ascii="宋体" w:hAnsi="宋体" w:hint="eastAsia"/>
          <w:sz w:val="24"/>
        </w:rPr>
        <w:t>.12 符合cGMP/GLP和21 CFR Part 11等相关法规的要求，具备用户管理、审计追踪以及访问控制等功能。可使用三种级别的电子签名。可分别设置独立的电子签名密码与登录密码。支持强密码策略。</w:t>
      </w:r>
    </w:p>
    <w:p w:rsidR="00497F84" w:rsidRPr="00B0321D" w:rsidRDefault="00497F84" w:rsidP="00497F84">
      <w:pPr>
        <w:spacing w:line="480" w:lineRule="exact"/>
        <w:rPr>
          <w:rFonts w:ascii="宋体" w:hAnsi="宋体"/>
          <w:sz w:val="24"/>
        </w:rPr>
      </w:pP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配置要求：</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.1 双梯度泵系统（标配自动柱塞清洗附件）  1套</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.2 自动进样器标准配置进样针外壁清洗阀</w:t>
      </w:r>
      <w:r w:rsidRPr="00B0321D">
        <w:rPr>
          <w:rFonts w:ascii="宋体" w:hAnsi="宋体" w:hint="eastAsia"/>
          <w:sz w:val="24"/>
        </w:rPr>
        <w:tab/>
        <w:t xml:space="preserve">  1套</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.3  120位自动进样器      1套</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.4 样品瓶                2包</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.5  超快速柱温箱          1台</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.6 紫外检测器            1台</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.7 色谱中文控制软件</w:t>
      </w:r>
      <w:r w:rsidRPr="00B0321D">
        <w:rPr>
          <w:rFonts w:ascii="宋体" w:hAnsi="宋体" w:hint="eastAsia"/>
          <w:sz w:val="24"/>
        </w:rPr>
        <w:tab/>
        <w:t xml:space="preserve">      1套</w:t>
      </w:r>
    </w:p>
    <w:p w:rsidR="00497F84" w:rsidRPr="00B0321D" w:rsidRDefault="00497F84" w:rsidP="00497F84">
      <w:pPr>
        <w:spacing w:line="480" w:lineRule="exact"/>
        <w:rPr>
          <w:rFonts w:ascii="宋体" w:hAnsi="宋体" w:hint="eastAsia"/>
          <w:sz w:val="24"/>
        </w:rPr>
      </w:pPr>
      <w:r w:rsidRPr="00B0321D">
        <w:rPr>
          <w:rFonts w:ascii="宋体" w:hAnsi="宋体"/>
          <w:sz w:val="24"/>
        </w:rPr>
        <w:lastRenderedPageBreak/>
        <w:t>3</w:t>
      </w:r>
      <w:r w:rsidRPr="00B0321D">
        <w:rPr>
          <w:rFonts w:ascii="宋体" w:hAnsi="宋体" w:hint="eastAsia"/>
          <w:sz w:val="24"/>
        </w:rPr>
        <w:t>.8  C18 色谱柱250mmX4.6 5um                               2根</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.9  保护柱卡套                                            1套</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.10 保护柱滤芯                                            2个</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.11 在线SPE系统  VIPER管路包                             1套</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.12 在线SPE系统：六通阀及驱动系统                        1套</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 xml:space="preserve">.13　500ul大体积进样套件　　                            １套       </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.14  前处理小柱：</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HILIC-1 4.6*10mm  5.0 µm</w:t>
      </w:r>
      <w:r w:rsidRPr="00B0321D">
        <w:rPr>
          <w:rFonts w:ascii="宋体" w:hAnsi="宋体" w:hint="eastAsia"/>
          <w:sz w:val="24"/>
        </w:rPr>
        <w:tab/>
        <w:t xml:space="preserve">在线SPE柱                   2个        </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WAX-1  4.6*10mm  5.0 µm</w:t>
      </w:r>
      <w:r w:rsidRPr="00B0321D">
        <w:rPr>
          <w:rFonts w:ascii="宋体" w:hAnsi="宋体" w:hint="eastAsia"/>
          <w:sz w:val="24"/>
        </w:rPr>
        <w:tab/>
        <w:t xml:space="preserve">在线SPE柱                   2个        </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 xml:space="preserve">WCX-1  4.6*10mm  5.0 µm   在线SPE柱                   2个        </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.15  电源线</w:t>
      </w:r>
      <w:r w:rsidRPr="00B0321D">
        <w:rPr>
          <w:rFonts w:ascii="宋体" w:hAnsi="宋体" w:hint="eastAsia"/>
          <w:sz w:val="24"/>
        </w:rPr>
        <w:tab/>
        <w:t xml:space="preserve">                    6根</w:t>
      </w:r>
    </w:p>
    <w:p w:rsidR="00497F84" w:rsidRPr="00B0321D" w:rsidRDefault="00497F84" w:rsidP="00497F84">
      <w:pPr>
        <w:spacing w:line="480" w:lineRule="exact"/>
        <w:rPr>
          <w:rFonts w:ascii="宋体" w:hAnsi="宋体" w:hint="eastAsia"/>
          <w:sz w:val="24"/>
        </w:rPr>
      </w:pPr>
      <w:r w:rsidRPr="00B0321D">
        <w:rPr>
          <w:rFonts w:ascii="宋体" w:hAnsi="宋体"/>
          <w:sz w:val="24"/>
        </w:rPr>
        <w:t>3</w:t>
      </w:r>
      <w:r w:rsidRPr="00B0321D">
        <w:rPr>
          <w:rFonts w:ascii="宋体" w:hAnsi="宋体" w:hint="eastAsia"/>
          <w:sz w:val="24"/>
        </w:rPr>
        <w:t xml:space="preserve">.16  计算机、打印机   1套（主流配置，国内采购）           </w:t>
      </w:r>
    </w:p>
    <w:p w:rsidR="00497F84" w:rsidRPr="00B0321D" w:rsidRDefault="00497F84" w:rsidP="00497F84">
      <w:pPr>
        <w:spacing w:line="480" w:lineRule="exact"/>
        <w:rPr>
          <w:rFonts w:ascii="宋体" w:hAnsi="宋体"/>
          <w:sz w:val="24"/>
        </w:rPr>
      </w:pPr>
      <w:r w:rsidRPr="00B0321D">
        <w:rPr>
          <w:rFonts w:ascii="宋体" w:hAnsi="宋体" w:hint="eastAsia"/>
          <w:sz w:val="24"/>
        </w:rPr>
        <w:t>注：*为必须满足的关键要求，负偏离即废标。</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4 售后服务及其保障</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 xml:space="preserve">4.1安装方式：用户提出安装要求后，一周内到达现场进行设备安装。 </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 xml:space="preserve">4.2安装调试：要求免费上门安装调试，使各项技术指标达到应达到的指标要求。 </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4.3现场培训：安装工程师负责免费提供用户现场操作培训, 保证能够正常使用仪器；在仪器安装调试后完成不少于2名技术人员2天的现场操作培训。厂家提供</w:t>
      </w:r>
      <w:r w:rsidRPr="00B0321D">
        <w:rPr>
          <w:rFonts w:ascii="宋体" w:hAnsi="宋体"/>
          <w:sz w:val="24"/>
        </w:rPr>
        <w:t>1</w:t>
      </w:r>
      <w:r w:rsidRPr="00B0321D">
        <w:rPr>
          <w:rFonts w:ascii="宋体" w:hAnsi="宋体" w:hint="eastAsia"/>
          <w:sz w:val="24"/>
        </w:rPr>
        <w:t>人免费到工厂参加为期不少于5天的培训。或安排仪器应用工程师到现场培训不少于5个工作日。</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 xml:space="preserve">4.4技术资料与支持：随机提供仪器出厂检验报告、合格证书、说明书、使用手册、等技术文件。 定期开展技术交流活动，为用户推荐有关应用技术资料。  </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4.5保修期：仪器安装调试合格之日起主机免费保修一年，终身维修（包括对零配件的供应）</w:t>
      </w:r>
      <w:r>
        <w:rPr>
          <w:rFonts w:ascii="宋体" w:hAnsi="宋体" w:hint="eastAsia"/>
          <w:sz w:val="24"/>
        </w:rPr>
        <w:t>，供应商</w:t>
      </w:r>
      <w:r w:rsidRPr="00B0321D">
        <w:rPr>
          <w:rFonts w:ascii="宋体" w:hAnsi="宋体" w:hint="eastAsia"/>
          <w:sz w:val="24"/>
        </w:rPr>
        <w:t>免费保修</w:t>
      </w:r>
      <w:r>
        <w:rPr>
          <w:rFonts w:ascii="宋体" w:hAnsi="宋体" w:hint="eastAsia"/>
          <w:sz w:val="24"/>
        </w:rPr>
        <w:t>2</w:t>
      </w:r>
      <w:r w:rsidRPr="00B0321D">
        <w:rPr>
          <w:rFonts w:ascii="宋体" w:hAnsi="宋体" w:hint="eastAsia"/>
          <w:sz w:val="24"/>
        </w:rPr>
        <w:t>年。</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4.6售后服务：仪器报修后，供应商应在2小时内给予明确答复，如需修理，在48小时内到达现场维修。 供应商应长期最低价供应有关仪器配件及化学试剂。 供应商应免费提供有关分析技术的咨询服务及相关资料。</w:t>
      </w:r>
    </w:p>
    <w:p w:rsidR="00497F84" w:rsidRPr="00B0321D" w:rsidRDefault="00497F84" w:rsidP="00497F84">
      <w:pPr>
        <w:spacing w:line="480" w:lineRule="exact"/>
        <w:rPr>
          <w:rFonts w:ascii="宋体" w:hAnsi="宋体" w:hint="eastAsia"/>
          <w:sz w:val="24"/>
        </w:rPr>
      </w:pPr>
      <w:r w:rsidRPr="00B0321D">
        <w:rPr>
          <w:rFonts w:ascii="宋体" w:hAnsi="宋体" w:hint="eastAsia"/>
          <w:sz w:val="24"/>
        </w:rPr>
        <w:t>5 以上条款需均满足。</w:t>
      </w:r>
    </w:p>
    <w:p w:rsidR="008B7283" w:rsidRPr="007E0A59" w:rsidRDefault="008B7283" w:rsidP="00FD1BD8">
      <w:pPr>
        <w:spacing w:line="440" w:lineRule="exact"/>
        <w:rPr>
          <w:sz w:val="24"/>
          <w:szCs w:val="24"/>
        </w:rPr>
      </w:pPr>
    </w:p>
    <w:sectPr w:rsidR="008B7283" w:rsidRPr="007E0A59" w:rsidSect="00BE00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83" w:rsidRDefault="00465283" w:rsidP="00CC3107">
      <w:r>
        <w:separator/>
      </w:r>
    </w:p>
  </w:endnote>
  <w:endnote w:type="continuationSeparator" w:id="0">
    <w:p w:rsidR="00465283" w:rsidRDefault="00465283" w:rsidP="00CC310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variable"/>
    <w:sig w:usb0="00000000" w:usb1="38CF7CFA" w:usb2="00000016" w:usb3="00000000" w:csb0="0004000F" w:csb1="00000000"/>
  </w:font>
  <w:font w:name="Cambria">
    <w:panose1 w:val="020405030504060A0204"/>
    <w:charset w:val="00"/>
    <w:family w:val="roman"/>
    <w:pitch w:val="variable"/>
    <w:sig w:usb0="E00002FF" w:usb1="4000045F" w:usb2="00000000" w:usb3="00000000" w:csb0="0000019F" w:csb1="00000000"/>
  </w:font>
  <w:font w:name="Frutiger 55 Roman">
    <w:altName w:val="Microsoft Sans Serif"/>
    <w:charset w:val="00"/>
    <w:family w:val="auto"/>
    <w:pitch w:val="variable"/>
    <w:sig w:usb0="00000000" w:usb1="4000207B" w:usb2="00000000" w:usb3="00000000" w:csb0="FFFFFFFF"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83" w:rsidRDefault="00465283" w:rsidP="00CC3107">
      <w:r>
        <w:separator/>
      </w:r>
    </w:p>
  </w:footnote>
  <w:footnote w:type="continuationSeparator" w:id="0">
    <w:p w:rsidR="00465283" w:rsidRDefault="00465283" w:rsidP="00CC3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376AB"/>
    <w:multiLevelType w:val="hybridMultilevel"/>
    <w:tmpl w:val="BA8376AB"/>
    <w:lvl w:ilvl="0" w:tplc="FFFFFFFF">
      <w:start w:val="1"/>
      <w:numFmt w:val="decimal"/>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nsid w:val="00000009"/>
    <w:multiLevelType w:val="multilevel"/>
    <w:tmpl w:val="00000009"/>
    <w:lvl w:ilvl="0">
      <w:start w:val="1"/>
      <w:numFmt w:val="decimal"/>
      <w:lvlText w:val="%1."/>
      <w:lvlJc w:val="left"/>
      <w:pPr>
        <w:tabs>
          <w:tab w:val="left" w:pos="420"/>
        </w:tabs>
        <w:ind w:left="420" w:hanging="420"/>
      </w:pPr>
      <w:rPr>
        <w:rFonts w:ascii="宋体" w:eastAsia="宋体" w:hAnsi="宋体" w:cs="Arial"/>
        <w:b/>
      </w:rPr>
    </w:lvl>
    <w:lvl w:ilvl="1">
      <w:start w:val="1"/>
      <w:numFmt w:val="decimal"/>
      <w:isLgl/>
      <w:lvlText w:val="%1.%2"/>
      <w:lvlJc w:val="left"/>
      <w:pPr>
        <w:tabs>
          <w:tab w:val="left" w:pos="420"/>
        </w:tabs>
        <w:ind w:left="420" w:hanging="420"/>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720"/>
        </w:tabs>
        <w:ind w:left="720" w:hanging="72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080"/>
        </w:tabs>
        <w:ind w:left="1080" w:hanging="1080"/>
      </w:pPr>
      <w:rPr>
        <w:rFonts w:hint="eastAsia"/>
      </w:rPr>
    </w:lvl>
    <w:lvl w:ilvl="6">
      <w:start w:val="1"/>
      <w:numFmt w:val="decimal"/>
      <w:isLgl/>
      <w:lvlText w:val="%1.%2.%3.%4.%5.%6.%7"/>
      <w:lvlJc w:val="left"/>
      <w:pPr>
        <w:tabs>
          <w:tab w:val="left" w:pos="1440"/>
        </w:tabs>
        <w:ind w:left="1440" w:hanging="1440"/>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800"/>
        </w:tabs>
        <w:ind w:left="1800" w:hanging="1800"/>
      </w:pPr>
      <w:rPr>
        <w:rFonts w:hint="eastAsia"/>
      </w:rPr>
    </w:lvl>
  </w:abstractNum>
  <w:abstractNum w:abstractNumId="2">
    <w:nsid w:val="2F000000"/>
    <w:multiLevelType w:val="hybridMultilevel"/>
    <w:tmpl w:val="1F000014"/>
    <w:lvl w:ilvl="0" w:tplc="E4D0A6DE">
      <w:start w:val="12"/>
      <w:numFmt w:val="decimal"/>
      <w:lvlText w:val="%1."/>
      <w:lvlJc w:val="left"/>
      <w:pPr>
        <w:ind w:left="360" w:hanging="360"/>
        <w:jc w:val="both"/>
      </w:pPr>
      <w:rPr>
        <w:w w:val="100"/>
        <w:sz w:val="20"/>
        <w:szCs w:val="20"/>
        <w:shd w:val="clear" w:color="auto" w:fill="auto"/>
      </w:rPr>
    </w:lvl>
    <w:lvl w:ilvl="1" w:tplc="1F824038">
      <w:start w:val="1"/>
      <w:numFmt w:val="lowerLetter"/>
      <w:lvlText w:val="%2)"/>
      <w:lvlJc w:val="left"/>
      <w:pPr>
        <w:ind w:left="840" w:hanging="420"/>
        <w:jc w:val="both"/>
      </w:pPr>
    </w:lvl>
    <w:lvl w:ilvl="2" w:tplc="38A09F4A">
      <w:start w:val="1"/>
      <w:numFmt w:val="lowerRoman"/>
      <w:lvlText w:val="%3."/>
      <w:lvlJc w:val="right"/>
      <w:pPr>
        <w:ind w:left="1260" w:hanging="420"/>
        <w:jc w:val="both"/>
      </w:pPr>
    </w:lvl>
    <w:lvl w:ilvl="3" w:tplc="80CA39C8">
      <w:start w:val="1"/>
      <w:numFmt w:val="decimal"/>
      <w:lvlText w:val="%4."/>
      <w:lvlJc w:val="left"/>
      <w:pPr>
        <w:ind w:left="1680" w:hanging="420"/>
        <w:jc w:val="both"/>
      </w:pPr>
    </w:lvl>
    <w:lvl w:ilvl="4" w:tplc="0F1CE8C4">
      <w:start w:val="1"/>
      <w:numFmt w:val="lowerLetter"/>
      <w:lvlText w:val="%5)"/>
      <w:lvlJc w:val="left"/>
      <w:pPr>
        <w:ind w:left="2100" w:hanging="420"/>
        <w:jc w:val="both"/>
      </w:pPr>
    </w:lvl>
    <w:lvl w:ilvl="5" w:tplc="513E1A92">
      <w:start w:val="1"/>
      <w:numFmt w:val="lowerRoman"/>
      <w:lvlText w:val="%6."/>
      <w:lvlJc w:val="right"/>
      <w:pPr>
        <w:ind w:left="2520" w:hanging="420"/>
        <w:jc w:val="both"/>
      </w:pPr>
    </w:lvl>
    <w:lvl w:ilvl="6" w:tplc="A2925BC0">
      <w:start w:val="1"/>
      <w:numFmt w:val="decimal"/>
      <w:lvlText w:val="%7."/>
      <w:lvlJc w:val="left"/>
      <w:pPr>
        <w:ind w:left="2940" w:hanging="420"/>
        <w:jc w:val="both"/>
      </w:pPr>
    </w:lvl>
    <w:lvl w:ilvl="7" w:tplc="4274ECC2">
      <w:start w:val="1"/>
      <w:numFmt w:val="lowerLetter"/>
      <w:lvlText w:val="%8)"/>
      <w:lvlJc w:val="left"/>
      <w:pPr>
        <w:ind w:left="3360" w:hanging="420"/>
        <w:jc w:val="both"/>
      </w:pPr>
    </w:lvl>
    <w:lvl w:ilvl="8" w:tplc="54967C08">
      <w:start w:val="1"/>
      <w:numFmt w:val="lowerRoman"/>
      <w:lvlText w:val="%9."/>
      <w:lvlJc w:val="right"/>
      <w:pPr>
        <w:ind w:left="3780" w:hanging="420"/>
        <w:jc w:val="both"/>
      </w:pPr>
    </w:lvl>
  </w:abstractNum>
  <w:abstractNum w:abstractNumId="3">
    <w:nsid w:val="2F000001"/>
    <w:multiLevelType w:val="hybridMultilevel"/>
    <w:tmpl w:val="1F002411"/>
    <w:lvl w:ilvl="0" w:tplc="8ABE2474">
      <w:start w:val="2"/>
      <w:numFmt w:val="decimal"/>
      <w:lvlText w:val="%1."/>
      <w:lvlJc w:val="left"/>
      <w:pPr>
        <w:ind w:left="782" w:hanging="360"/>
        <w:jc w:val="both"/>
      </w:pPr>
      <w:rPr>
        <w:w w:val="100"/>
        <w:sz w:val="20"/>
        <w:szCs w:val="20"/>
        <w:shd w:val="clear" w:color="auto" w:fill="auto"/>
      </w:rPr>
    </w:lvl>
    <w:lvl w:ilvl="1" w:tplc="D2C0CE70">
      <w:start w:val="1"/>
      <w:numFmt w:val="lowerLetter"/>
      <w:lvlText w:val="%2)"/>
      <w:lvlJc w:val="left"/>
      <w:pPr>
        <w:ind w:left="1262" w:hanging="420"/>
        <w:jc w:val="both"/>
      </w:pPr>
    </w:lvl>
    <w:lvl w:ilvl="2" w:tplc="337A5E28">
      <w:start w:val="1"/>
      <w:numFmt w:val="lowerRoman"/>
      <w:lvlText w:val="%3."/>
      <w:lvlJc w:val="right"/>
      <w:pPr>
        <w:ind w:left="1682" w:hanging="420"/>
        <w:jc w:val="both"/>
      </w:pPr>
    </w:lvl>
    <w:lvl w:ilvl="3" w:tplc="7B8061BE">
      <w:start w:val="1"/>
      <w:numFmt w:val="decimal"/>
      <w:lvlText w:val="%4."/>
      <w:lvlJc w:val="left"/>
      <w:pPr>
        <w:ind w:left="2102" w:hanging="420"/>
        <w:jc w:val="both"/>
      </w:pPr>
    </w:lvl>
    <w:lvl w:ilvl="4" w:tplc="498AAAEC">
      <w:start w:val="1"/>
      <w:numFmt w:val="lowerLetter"/>
      <w:lvlText w:val="%5)"/>
      <w:lvlJc w:val="left"/>
      <w:pPr>
        <w:ind w:left="2522" w:hanging="420"/>
        <w:jc w:val="both"/>
      </w:pPr>
    </w:lvl>
    <w:lvl w:ilvl="5" w:tplc="91FE20B6">
      <w:start w:val="1"/>
      <w:numFmt w:val="lowerRoman"/>
      <w:lvlText w:val="%6."/>
      <w:lvlJc w:val="right"/>
      <w:pPr>
        <w:ind w:left="2942" w:hanging="420"/>
        <w:jc w:val="both"/>
      </w:pPr>
    </w:lvl>
    <w:lvl w:ilvl="6" w:tplc="46B88046">
      <w:start w:val="1"/>
      <w:numFmt w:val="decimal"/>
      <w:lvlText w:val="%7."/>
      <w:lvlJc w:val="left"/>
      <w:pPr>
        <w:ind w:left="3362" w:hanging="420"/>
        <w:jc w:val="both"/>
      </w:pPr>
    </w:lvl>
    <w:lvl w:ilvl="7" w:tplc="A0C065CA">
      <w:start w:val="1"/>
      <w:numFmt w:val="lowerLetter"/>
      <w:lvlText w:val="%8)"/>
      <w:lvlJc w:val="left"/>
      <w:pPr>
        <w:ind w:left="3782" w:hanging="420"/>
        <w:jc w:val="both"/>
      </w:pPr>
    </w:lvl>
    <w:lvl w:ilvl="8" w:tplc="857AF8F0">
      <w:start w:val="1"/>
      <w:numFmt w:val="lowerRoman"/>
      <w:lvlText w:val="%9."/>
      <w:lvlJc w:val="right"/>
      <w:pPr>
        <w:ind w:left="4202" w:hanging="420"/>
        <w:jc w:val="both"/>
      </w:pPr>
    </w:lvl>
  </w:abstractNum>
  <w:abstractNum w:abstractNumId="4">
    <w:nsid w:val="2F000002"/>
    <w:multiLevelType w:val="multilevel"/>
    <w:tmpl w:val="1F000C5F"/>
    <w:lvl w:ilvl="0">
      <w:start w:val="1"/>
      <w:numFmt w:val="decimal"/>
      <w:lvlText w:val="%1."/>
      <w:lvlJc w:val="left"/>
      <w:pPr>
        <w:ind w:left="782" w:hanging="360"/>
        <w:jc w:val="both"/>
      </w:pPr>
    </w:lvl>
    <w:lvl w:ilvl="1">
      <w:start w:val="2"/>
      <w:numFmt w:val="decimal"/>
      <w:lvlText w:val="%1.%2"/>
      <w:lvlJc w:val="left"/>
      <w:pPr>
        <w:ind w:left="782" w:hanging="360"/>
        <w:jc w:val="both"/>
      </w:pPr>
    </w:lvl>
    <w:lvl w:ilvl="2">
      <w:start w:val="1"/>
      <w:numFmt w:val="decimal"/>
      <w:lvlText w:val="%1.%2.%3"/>
      <w:lvlJc w:val="left"/>
      <w:pPr>
        <w:ind w:left="1142" w:hanging="720"/>
        <w:jc w:val="both"/>
      </w:pPr>
    </w:lvl>
    <w:lvl w:ilvl="3">
      <w:start w:val="1"/>
      <w:numFmt w:val="decimal"/>
      <w:lvlText w:val="%1.%2.%3.%4"/>
      <w:lvlJc w:val="left"/>
      <w:pPr>
        <w:ind w:left="1502" w:hanging="1080"/>
        <w:jc w:val="both"/>
      </w:pPr>
    </w:lvl>
    <w:lvl w:ilvl="4">
      <w:start w:val="1"/>
      <w:numFmt w:val="decimal"/>
      <w:lvlText w:val="%1.%2.%3.%4.%5"/>
      <w:lvlJc w:val="left"/>
      <w:pPr>
        <w:ind w:left="1502" w:hanging="1080"/>
        <w:jc w:val="both"/>
      </w:pPr>
    </w:lvl>
    <w:lvl w:ilvl="5">
      <w:start w:val="1"/>
      <w:numFmt w:val="decimal"/>
      <w:lvlText w:val="%1.%2.%3.%4.%5.%6"/>
      <w:lvlJc w:val="left"/>
      <w:pPr>
        <w:ind w:left="1862" w:hanging="1440"/>
        <w:jc w:val="both"/>
      </w:pPr>
    </w:lvl>
    <w:lvl w:ilvl="6">
      <w:start w:val="1"/>
      <w:numFmt w:val="decimal"/>
      <w:lvlText w:val="%1.%2.%3.%4.%5.%6.%7"/>
      <w:lvlJc w:val="left"/>
      <w:pPr>
        <w:ind w:left="1862" w:hanging="1440"/>
        <w:jc w:val="both"/>
      </w:pPr>
    </w:lvl>
    <w:lvl w:ilvl="7">
      <w:start w:val="1"/>
      <w:numFmt w:val="decimal"/>
      <w:lvlText w:val="%1.%2.%3.%4.%5.%6.%7.%8"/>
      <w:lvlJc w:val="left"/>
      <w:pPr>
        <w:ind w:left="2222" w:hanging="1800"/>
        <w:jc w:val="both"/>
      </w:pPr>
    </w:lvl>
    <w:lvl w:ilvl="8">
      <w:start w:val="1"/>
      <w:numFmt w:val="decimal"/>
      <w:lvlText w:val="%1.%2.%3.%4.%5.%6.%7.%8.%9"/>
      <w:lvlJc w:val="left"/>
      <w:pPr>
        <w:ind w:left="2222" w:hanging="1800"/>
        <w:jc w:val="both"/>
      </w:pPr>
    </w:lvl>
  </w:abstractNum>
  <w:abstractNum w:abstractNumId="5">
    <w:nsid w:val="2F000003"/>
    <w:multiLevelType w:val="hybridMultilevel"/>
    <w:tmpl w:val="1F0033C2"/>
    <w:lvl w:ilvl="0" w:tplc="60EA8258">
      <w:start w:val="12"/>
      <w:numFmt w:val="decimal"/>
      <w:lvlText w:val="%1."/>
      <w:lvlJc w:val="left"/>
      <w:pPr>
        <w:ind w:left="360" w:hanging="360"/>
        <w:jc w:val="both"/>
      </w:pPr>
      <w:rPr>
        <w:w w:val="100"/>
        <w:sz w:val="20"/>
        <w:szCs w:val="20"/>
        <w:shd w:val="clear" w:color="auto" w:fill="auto"/>
      </w:rPr>
    </w:lvl>
    <w:lvl w:ilvl="1" w:tplc="DEAACB56">
      <w:start w:val="1"/>
      <w:numFmt w:val="lowerLetter"/>
      <w:lvlText w:val="%2)"/>
      <w:lvlJc w:val="left"/>
      <w:pPr>
        <w:ind w:left="840" w:hanging="420"/>
        <w:jc w:val="both"/>
      </w:pPr>
    </w:lvl>
    <w:lvl w:ilvl="2" w:tplc="45540D2C">
      <w:start w:val="1"/>
      <w:numFmt w:val="lowerRoman"/>
      <w:lvlText w:val="%3."/>
      <w:lvlJc w:val="right"/>
      <w:pPr>
        <w:ind w:left="1260" w:hanging="420"/>
        <w:jc w:val="both"/>
      </w:pPr>
    </w:lvl>
    <w:lvl w:ilvl="3" w:tplc="B9966968">
      <w:start w:val="1"/>
      <w:numFmt w:val="decimal"/>
      <w:lvlText w:val="%4."/>
      <w:lvlJc w:val="left"/>
      <w:pPr>
        <w:ind w:left="1680" w:hanging="420"/>
        <w:jc w:val="both"/>
      </w:pPr>
    </w:lvl>
    <w:lvl w:ilvl="4" w:tplc="55AE4EEE">
      <w:start w:val="1"/>
      <w:numFmt w:val="lowerLetter"/>
      <w:lvlText w:val="%5)"/>
      <w:lvlJc w:val="left"/>
      <w:pPr>
        <w:ind w:left="2100" w:hanging="420"/>
        <w:jc w:val="both"/>
      </w:pPr>
    </w:lvl>
    <w:lvl w:ilvl="5" w:tplc="96441272">
      <w:start w:val="1"/>
      <w:numFmt w:val="lowerRoman"/>
      <w:lvlText w:val="%6."/>
      <w:lvlJc w:val="right"/>
      <w:pPr>
        <w:ind w:left="2520" w:hanging="420"/>
        <w:jc w:val="both"/>
      </w:pPr>
    </w:lvl>
    <w:lvl w:ilvl="6" w:tplc="E084E270">
      <w:start w:val="1"/>
      <w:numFmt w:val="decimal"/>
      <w:lvlText w:val="%7."/>
      <w:lvlJc w:val="left"/>
      <w:pPr>
        <w:ind w:left="2940" w:hanging="420"/>
        <w:jc w:val="both"/>
      </w:pPr>
    </w:lvl>
    <w:lvl w:ilvl="7" w:tplc="73922768">
      <w:start w:val="1"/>
      <w:numFmt w:val="lowerLetter"/>
      <w:lvlText w:val="%8)"/>
      <w:lvlJc w:val="left"/>
      <w:pPr>
        <w:ind w:left="3360" w:hanging="420"/>
        <w:jc w:val="both"/>
      </w:pPr>
    </w:lvl>
    <w:lvl w:ilvl="8" w:tplc="1586152A">
      <w:start w:val="1"/>
      <w:numFmt w:val="lowerRoman"/>
      <w:lvlText w:val="%9."/>
      <w:lvlJc w:val="right"/>
      <w:pPr>
        <w:ind w:left="3780" w:hanging="420"/>
        <w:jc w:val="both"/>
      </w:pPr>
    </w:lvl>
  </w:abstractNum>
  <w:abstractNum w:abstractNumId="6">
    <w:nsid w:val="33882D94"/>
    <w:multiLevelType w:val="hybridMultilevel"/>
    <w:tmpl w:val="07FEF604"/>
    <w:lvl w:ilvl="0" w:tplc="87F65AC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7B26CE"/>
    <w:multiLevelType w:val="hybridMultilevel"/>
    <w:tmpl w:val="D4EC13BA"/>
    <w:lvl w:ilvl="0" w:tplc="C9A40F0E">
      <w:start w:val="1"/>
      <w:numFmt w:val="decimal"/>
      <w:lvlText w:val="%1、"/>
      <w:lvlJc w:val="left"/>
      <w:pPr>
        <w:ind w:left="1080" w:hanging="720"/>
      </w:pPr>
      <w:rPr>
        <w:rFonts w:ascii="Calibri" w:hAnsi="Calibri"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3616BED"/>
    <w:multiLevelType w:val="hybridMultilevel"/>
    <w:tmpl w:val="7BBA15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197CD7"/>
    <w:multiLevelType w:val="multilevel"/>
    <w:tmpl w:val="00000000"/>
    <w:lvl w:ilvl="0">
      <w:start w:val="1"/>
      <w:numFmt w:val="decimal"/>
      <w:lvlText w:val="%1."/>
      <w:lvlJc w:val="left"/>
      <w:pPr>
        <w:tabs>
          <w:tab w:val="left" w:pos="420"/>
        </w:tabs>
        <w:ind w:left="420" w:hanging="420"/>
      </w:pPr>
      <w:rPr>
        <w:rFonts w:hint="eastAsia"/>
        <w:b/>
      </w:rPr>
    </w:lvl>
    <w:lvl w:ilvl="1">
      <w:start w:val="1"/>
      <w:numFmt w:val="decimal"/>
      <w:isLgl/>
      <w:lvlText w:val="%1.%2"/>
      <w:lvlJc w:val="left"/>
      <w:pPr>
        <w:tabs>
          <w:tab w:val="left" w:pos="420"/>
        </w:tabs>
        <w:ind w:left="420" w:hanging="420"/>
      </w:pPr>
      <w:rPr>
        <w:rFonts w:hint="eastAsia"/>
      </w:rPr>
    </w:lvl>
    <w:lvl w:ilvl="2">
      <w:start w:val="1"/>
      <w:numFmt w:val="decimal"/>
      <w:isLgl/>
      <w:lvlText w:val="%1.%2.%3"/>
      <w:lvlJc w:val="left"/>
      <w:pPr>
        <w:tabs>
          <w:tab w:val="left" w:pos="720"/>
        </w:tabs>
        <w:ind w:left="720" w:hanging="720"/>
      </w:pPr>
      <w:rPr>
        <w:rFonts w:hint="eastAsia"/>
      </w:rPr>
    </w:lvl>
    <w:lvl w:ilvl="3">
      <w:start w:val="1"/>
      <w:numFmt w:val="decimal"/>
      <w:isLgl/>
      <w:lvlText w:val="%1.%2.%3.%4"/>
      <w:lvlJc w:val="left"/>
      <w:pPr>
        <w:tabs>
          <w:tab w:val="left" w:pos="720"/>
        </w:tabs>
        <w:ind w:left="720" w:hanging="720"/>
      </w:pPr>
      <w:rPr>
        <w:rFonts w:hint="eastAsia"/>
      </w:rPr>
    </w:lvl>
    <w:lvl w:ilvl="4">
      <w:start w:val="1"/>
      <w:numFmt w:val="decimal"/>
      <w:isLgl/>
      <w:lvlText w:val="%1.%2.%3.%4.%5"/>
      <w:lvlJc w:val="left"/>
      <w:pPr>
        <w:tabs>
          <w:tab w:val="left" w:pos="1080"/>
        </w:tabs>
        <w:ind w:left="1080" w:hanging="1080"/>
      </w:pPr>
      <w:rPr>
        <w:rFonts w:hint="eastAsia"/>
      </w:rPr>
    </w:lvl>
    <w:lvl w:ilvl="5">
      <w:start w:val="1"/>
      <w:numFmt w:val="decimal"/>
      <w:isLgl/>
      <w:lvlText w:val="%1.%2.%3.%4.%5.%6"/>
      <w:lvlJc w:val="left"/>
      <w:pPr>
        <w:tabs>
          <w:tab w:val="left" w:pos="1080"/>
        </w:tabs>
        <w:ind w:left="1080" w:hanging="1080"/>
      </w:pPr>
      <w:rPr>
        <w:rFonts w:hint="eastAsia"/>
      </w:rPr>
    </w:lvl>
    <w:lvl w:ilvl="6">
      <w:start w:val="1"/>
      <w:numFmt w:val="decimal"/>
      <w:isLgl/>
      <w:lvlText w:val="%1.%2.%3.%4.%5.%6.%7"/>
      <w:lvlJc w:val="left"/>
      <w:pPr>
        <w:tabs>
          <w:tab w:val="left" w:pos="1440"/>
        </w:tabs>
        <w:ind w:left="1440" w:hanging="1440"/>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800"/>
        </w:tabs>
        <w:ind w:left="1800" w:hanging="1800"/>
      </w:pPr>
      <w:rPr>
        <w:rFonts w:hint="eastAsia"/>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6"/>
  </w:num>
  <w:num w:numId="6">
    <w:abstractNumId w:val="8"/>
  </w:num>
  <w:num w:numId="7">
    <w:abstractNumId w:val="0"/>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balanceSingleByteDoubleByteWidth/>
    <w:ulTrailSpace/>
    <w:adjustLineHeightInTable/>
    <w:useFELayout/>
  </w:compat>
  <w:rsids>
    <w:rsidRoot w:val="00BE000F"/>
    <w:rsid w:val="000452D8"/>
    <w:rsid w:val="001B3EDD"/>
    <w:rsid w:val="001E79E0"/>
    <w:rsid w:val="00261175"/>
    <w:rsid w:val="00283EBF"/>
    <w:rsid w:val="00324DDB"/>
    <w:rsid w:val="00465283"/>
    <w:rsid w:val="00494197"/>
    <w:rsid w:val="00497F84"/>
    <w:rsid w:val="00526804"/>
    <w:rsid w:val="005524E3"/>
    <w:rsid w:val="007E0A59"/>
    <w:rsid w:val="00886538"/>
    <w:rsid w:val="008B7283"/>
    <w:rsid w:val="0092748A"/>
    <w:rsid w:val="009635C1"/>
    <w:rsid w:val="00A2297E"/>
    <w:rsid w:val="00B1784E"/>
    <w:rsid w:val="00B5015D"/>
    <w:rsid w:val="00B92151"/>
    <w:rsid w:val="00BE000F"/>
    <w:rsid w:val="00C41FDF"/>
    <w:rsid w:val="00CC3107"/>
    <w:rsid w:val="00CC32A4"/>
    <w:rsid w:val="00E11029"/>
    <w:rsid w:val="00F36193"/>
    <w:rsid w:val="00FD1BD8"/>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宋体" w:hAnsi="等线"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000F"/>
    <w:pPr>
      <w:jc w:val="both"/>
    </w:pPr>
  </w:style>
  <w:style w:type="paragraph" w:styleId="1">
    <w:name w:val="heading 1"/>
    <w:uiPriority w:val="7"/>
    <w:qFormat/>
    <w:rsid w:val="00BE000F"/>
    <w:pPr>
      <w:jc w:val="both"/>
      <w:outlineLvl w:val="0"/>
    </w:pPr>
    <w:rPr>
      <w:sz w:val="28"/>
      <w:szCs w:val="28"/>
    </w:rPr>
  </w:style>
  <w:style w:type="paragraph" w:styleId="2">
    <w:name w:val="heading 2"/>
    <w:link w:val="2Char"/>
    <w:uiPriority w:val="8"/>
    <w:qFormat/>
    <w:rsid w:val="00BE000F"/>
    <w:pPr>
      <w:jc w:val="both"/>
      <w:outlineLvl w:val="1"/>
    </w:pPr>
  </w:style>
  <w:style w:type="paragraph" w:styleId="3">
    <w:name w:val="heading 3"/>
    <w:uiPriority w:val="9"/>
    <w:qFormat/>
    <w:rsid w:val="00BE000F"/>
    <w:pPr>
      <w:ind w:left="1000" w:hanging="400"/>
      <w:jc w:val="both"/>
      <w:outlineLvl w:val="2"/>
    </w:pPr>
  </w:style>
  <w:style w:type="paragraph" w:styleId="4">
    <w:name w:val="heading 4"/>
    <w:uiPriority w:val="10"/>
    <w:qFormat/>
    <w:rsid w:val="00BE000F"/>
    <w:pPr>
      <w:ind w:left="1200" w:hanging="400"/>
      <w:jc w:val="both"/>
      <w:outlineLvl w:val="3"/>
    </w:pPr>
    <w:rPr>
      <w:b/>
    </w:rPr>
  </w:style>
  <w:style w:type="paragraph" w:styleId="5">
    <w:name w:val="heading 5"/>
    <w:uiPriority w:val="11"/>
    <w:qFormat/>
    <w:rsid w:val="00BE000F"/>
    <w:pPr>
      <w:ind w:left="1400" w:hanging="400"/>
      <w:jc w:val="both"/>
      <w:outlineLvl w:val="4"/>
    </w:pPr>
  </w:style>
  <w:style w:type="paragraph" w:styleId="6">
    <w:name w:val="heading 6"/>
    <w:uiPriority w:val="12"/>
    <w:qFormat/>
    <w:rsid w:val="00BE000F"/>
    <w:pPr>
      <w:ind w:left="1600" w:hanging="400"/>
      <w:jc w:val="both"/>
      <w:outlineLvl w:val="5"/>
    </w:pPr>
    <w:rPr>
      <w:b/>
    </w:rPr>
  </w:style>
  <w:style w:type="paragraph" w:styleId="7">
    <w:name w:val="heading 7"/>
    <w:uiPriority w:val="13"/>
    <w:qFormat/>
    <w:rsid w:val="00BE000F"/>
    <w:pPr>
      <w:ind w:left="1800" w:hanging="400"/>
      <w:jc w:val="both"/>
      <w:outlineLvl w:val="6"/>
    </w:pPr>
  </w:style>
  <w:style w:type="paragraph" w:styleId="8">
    <w:name w:val="heading 8"/>
    <w:uiPriority w:val="14"/>
    <w:qFormat/>
    <w:rsid w:val="00BE000F"/>
    <w:pPr>
      <w:ind w:left="2000" w:hanging="400"/>
      <w:jc w:val="both"/>
      <w:outlineLvl w:val="7"/>
    </w:pPr>
  </w:style>
  <w:style w:type="paragraph" w:styleId="9">
    <w:name w:val="heading 9"/>
    <w:uiPriority w:val="15"/>
    <w:qFormat/>
    <w:rsid w:val="00BE000F"/>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BE000F"/>
    <w:pPr>
      <w:jc w:val="both"/>
    </w:pPr>
  </w:style>
  <w:style w:type="paragraph" w:styleId="a4">
    <w:name w:val="Title"/>
    <w:uiPriority w:val="6"/>
    <w:qFormat/>
    <w:rsid w:val="00BE000F"/>
    <w:pPr>
      <w:jc w:val="center"/>
    </w:pPr>
    <w:rPr>
      <w:b/>
      <w:sz w:val="32"/>
      <w:szCs w:val="32"/>
    </w:rPr>
  </w:style>
  <w:style w:type="paragraph" w:styleId="a5">
    <w:name w:val="Subtitle"/>
    <w:basedOn w:val="a"/>
    <w:next w:val="a"/>
    <w:link w:val="Char"/>
    <w:uiPriority w:val="16"/>
    <w:qFormat/>
    <w:rsid w:val="00BE000F"/>
    <w:pPr>
      <w:jc w:val="center"/>
    </w:pPr>
    <w:rPr>
      <w:rFonts w:ascii="Cambria" w:eastAsia="Times New Roman" w:hAnsi="Cambria"/>
      <w:b/>
      <w:sz w:val="32"/>
      <w:szCs w:val="32"/>
    </w:rPr>
  </w:style>
  <w:style w:type="character" w:styleId="a6">
    <w:name w:val="Subtle Emphasis"/>
    <w:uiPriority w:val="17"/>
    <w:qFormat/>
    <w:rsid w:val="00BE000F"/>
    <w:rPr>
      <w:i/>
      <w:color w:val="404040"/>
      <w:w w:val="100"/>
      <w:sz w:val="21"/>
      <w:szCs w:val="21"/>
      <w:shd w:val="clear" w:color="auto" w:fill="auto"/>
    </w:rPr>
  </w:style>
  <w:style w:type="character" w:styleId="a7">
    <w:name w:val="Emphasis"/>
    <w:uiPriority w:val="18"/>
    <w:qFormat/>
    <w:rsid w:val="00BE000F"/>
    <w:rPr>
      <w:i/>
      <w:w w:val="100"/>
      <w:sz w:val="21"/>
      <w:szCs w:val="21"/>
      <w:shd w:val="clear" w:color="auto" w:fill="auto"/>
    </w:rPr>
  </w:style>
  <w:style w:type="character" w:styleId="a8">
    <w:name w:val="Intense Emphasis"/>
    <w:uiPriority w:val="19"/>
    <w:qFormat/>
    <w:rsid w:val="00BE000F"/>
    <w:rPr>
      <w:i/>
      <w:color w:val="5B9BD5"/>
      <w:w w:val="100"/>
      <w:sz w:val="21"/>
      <w:szCs w:val="21"/>
      <w:shd w:val="clear" w:color="auto" w:fill="auto"/>
    </w:rPr>
  </w:style>
  <w:style w:type="character" w:styleId="a9">
    <w:name w:val="Strong"/>
    <w:uiPriority w:val="20"/>
    <w:qFormat/>
    <w:rsid w:val="00BE000F"/>
    <w:rPr>
      <w:b/>
      <w:w w:val="100"/>
      <w:sz w:val="21"/>
      <w:szCs w:val="21"/>
      <w:shd w:val="clear" w:color="auto" w:fill="auto"/>
    </w:rPr>
  </w:style>
  <w:style w:type="paragraph" w:styleId="aa">
    <w:name w:val="Quote"/>
    <w:uiPriority w:val="21"/>
    <w:qFormat/>
    <w:rsid w:val="00BE000F"/>
    <w:pPr>
      <w:ind w:left="864" w:right="864"/>
      <w:jc w:val="center"/>
    </w:pPr>
    <w:rPr>
      <w:i/>
      <w:color w:val="404040"/>
    </w:rPr>
  </w:style>
  <w:style w:type="paragraph" w:styleId="ab">
    <w:name w:val="Intense Quote"/>
    <w:uiPriority w:val="22"/>
    <w:qFormat/>
    <w:rsid w:val="00BE000F"/>
    <w:pPr>
      <w:ind w:left="950" w:right="950"/>
      <w:jc w:val="center"/>
    </w:pPr>
    <w:rPr>
      <w:i/>
      <w:color w:val="5B9BD5"/>
    </w:rPr>
  </w:style>
  <w:style w:type="character" w:styleId="ac">
    <w:name w:val="Subtle Reference"/>
    <w:uiPriority w:val="23"/>
    <w:qFormat/>
    <w:rsid w:val="00BE000F"/>
    <w:rPr>
      <w:smallCaps/>
      <w:color w:val="5A5A5A"/>
      <w:w w:val="100"/>
      <w:sz w:val="21"/>
      <w:szCs w:val="21"/>
      <w:shd w:val="clear" w:color="auto" w:fill="auto"/>
    </w:rPr>
  </w:style>
  <w:style w:type="character" w:styleId="ad">
    <w:name w:val="Intense Reference"/>
    <w:uiPriority w:val="24"/>
    <w:qFormat/>
    <w:rsid w:val="00BE000F"/>
    <w:rPr>
      <w:b/>
      <w:smallCaps/>
      <w:color w:val="5B9BD5"/>
      <w:w w:val="100"/>
      <w:sz w:val="21"/>
      <w:szCs w:val="21"/>
      <w:shd w:val="clear" w:color="auto" w:fill="auto"/>
    </w:rPr>
  </w:style>
  <w:style w:type="character" w:styleId="ae">
    <w:name w:val="Book Title"/>
    <w:uiPriority w:val="25"/>
    <w:qFormat/>
    <w:rsid w:val="00BE000F"/>
    <w:rPr>
      <w:b/>
      <w:i/>
      <w:w w:val="100"/>
      <w:sz w:val="21"/>
      <w:szCs w:val="21"/>
      <w:shd w:val="clear" w:color="auto" w:fill="auto"/>
    </w:rPr>
  </w:style>
  <w:style w:type="paragraph" w:styleId="af">
    <w:name w:val="List Paragraph"/>
    <w:basedOn w:val="a"/>
    <w:uiPriority w:val="34"/>
    <w:qFormat/>
    <w:rsid w:val="00BE000F"/>
    <w:pPr>
      <w:ind w:left="720"/>
    </w:pPr>
    <w:rPr>
      <w:rFonts w:ascii="Frutiger 55 Roman" w:eastAsia="Times New Roman" w:hAnsi="Frutiger 55 Roman"/>
      <w:sz w:val="22"/>
      <w:szCs w:val="22"/>
    </w:rPr>
  </w:style>
  <w:style w:type="paragraph" w:styleId="TOC">
    <w:name w:val="TOC Heading"/>
    <w:uiPriority w:val="27"/>
    <w:unhideWhenUsed/>
    <w:qFormat/>
    <w:rsid w:val="00BE000F"/>
    <w:rPr>
      <w:color w:val="2E74B5"/>
      <w:sz w:val="32"/>
      <w:szCs w:val="32"/>
    </w:rPr>
  </w:style>
  <w:style w:type="paragraph" w:styleId="10">
    <w:name w:val="toc 1"/>
    <w:uiPriority w:val="28"/>
    <w:unhideWhenUsed/>
    <w:qFormat/>
    <w:rsid w:val="00BE000F"/>
    <w:pPr>
      <w:jc w:val="both"/>
    </w:pPr>
  </w:style>
  <w:style w:type="paragraph" w:styleId="20">
    <w:name w:val="toc 2"/>
    <w:uiPriority w:val="29"/>
    <w:unhideWhenUsed/>
    <w:qFormat/>
    <w:rsid w:val="00BE000F"/>
    <w:pPr>
      <w:ind w:left="425"/>
      <w:jc w:val="both"/>
    </w:pPr>
  </w:style>
  <w:style w:type="paragraph" w:styleId="30">
    <w:name w:val="toc 3"/>
    <w:uiPriority w:val="30"/>
    <w:unhideWhenUsed/>
    <w:qFormat/>
    <w:rsid w:val="00BE000F"/>
    <w:pPr>
      <w:ind w:left="850"/>
      <w:jc w:val="both"/>
    </w:pPr>
  </w:style>
  <w:style w:type="paragraph" w:styleId="40">
    <w:name w:val="toc 4"/>
    <w:uiPriority w:val="31"/>
    <w:unhideWhenUsed/>
    <w:qFormat/>
    <w:rsid w:val="00BE000F"/>
    <w:pPr>
      <w:ind w:left="1275"/>
      <w:jc w:val="both"/>
    </w:pPr>
  </w:style>
  <w:style w:type="paragraph" w:styleId="50">
    <w:name w:val="toc 5"/>
    <w:uiPriority w:val="32"/>
    <w:unhideWhenUsed/>
    <w:qFormat/>
    <w:rsid w:val="00BE000F"/>
    <w:pPr>
      <w:ind w:left="1700"/>
      <w:jc w:val="both"/>
    </w:pPr>
  </w:style>
  <w:style w:type="paragraph" w:styleId="60">
    <w:name w:val="toc 6"/>
    <w:uiPriority w:val="33"/>
    <w:unhideWhenUsed/>
    <w:qFormat/>
    <w:rsid w:val="00BE000F"/>
    <w:pPr>
      <w:ind w:left="2125"/>
      <w:jc w:val="both"/>
    </w:pPr>
  </w:style>
  <w:style w:type="paragraph" w:styleId="70">
    <w:name w:val="toc 7"/>
    <w:uiPriority w:val="34"/>
    <w:unhideWhenUsed/>
    <w:qFormat/>
    <w:rsid w:val="00BE000F"/>
    <w:pPr>
      <w:ind w:left="2550"/>
      <w:jc w:val="both"/>
    </w:pPr>
  </w:style>
  <w:style w:type="paragraph" w:styleId="80">
    <w:name w:val="toc 8"/>
    <w:uiPriority w:val="35"/>
    <w:unhideWhenUsed/>
    <w:qFormat/>
    <w:rsid w:val="00BE000F"/>
    <w:pPr>
      <w:ind w:left="2975"/>
      <w:jc w:val="both"/>
    </w:pPr>
  </w:style>
  <w:style w:type="paragraph" w:styleId="90">
    <w:name w:val="toc 9"/>
    <w:uiPriority w:val="36"/>
    <w:unhideWhenUsed/>
    <w:qFormat/>
    <w:rsid w:val="00BE000F"/>
    <w:pPr>
      <w:ind w:left="3400"/>
      <w:jc w:val="both"/>
    </w:pPr>
  </w:style>
  <w:style w:type="paragraph" w:styleId="af0">
    <w:name w:val="header"/>
    <w:basedOn w:val="a"/>
    <w:link w:val="Char0"/>
    <w:unhideWhenUsed/>
    <w:rsid w:val="00BE000F"/>
    <w:pPr>
      <w:tabs>
        <w:tab w:val="center" w:pos="4153"/>
        <w:tab w:val="right" w:pos="8306"/>
      </w:tabs>
      <w:jc w:val="center"/>
    </w:pPr>
    <w:rPr>
      <w:sz w:val="18"/>
      <w:szCs w:val="18"/>
    </w:rPr>
  </w:style>
  <w:style w:type="character" w:customStyle="1" w:styleId="Char0">
    <w:name w:val="页眉 Char"/>
    <w:basedOn w:val="a0"/>
    <w:link w:val="af0"/>
    <w:rsid w:val="00BE000F"/>
    <w:rPr>
      <w:w w:val="100"/>
      <w:sz w:val="18"/>
      <w:szCs w:val="18"/>
      <w:shd w:val="clear" w:color="auto" w:fill="auto"/>
    </w:rPr>
  </w:style>
  <w:style w:type="paragraph" w:styleId="af1">
    <w:name w:val="footer"/>
    <w:basedOn w:val="a"/>
    <w:link w:val="Char1"/>
    <w:unhideWhenUsed/>
    <w:rsid w:val="00BE000F"/>
    <w:pPr>
      <w:tabs>
        <w:tab w:val="center" w:pos="4153"/>
        <w:tab w:val="right" w:pos="8306"/>
      </w:tabs>
    </w:pPr>
    <w:rPr>
      <w:sz w:val="18"/>
      <w:szCs w:val="18"/>
    </w:rPr>
  </w:style>
  <w:style w:type="character" w:customStyle="1" w:styleId="Char1">
    <w:name w:val="页脚 Char"/>
    <w:basedOn w:val="a0"/>
    <w:link w:val="af1"/>
    <w:rsid w:val="00BE000F"/>
    <w:rPr>
      <w:w w:val="100"/>
      <w:sz w:val="18"/>
      <w:szCs w:val="18"/>
      <w:shd w:val="clear" w:color="auto" w:fill="auto"/>
    </w:rPr>
  </w:style>
  <w:style w:type="character" w:customStyle="1" w:styleId="af2">
    <w:name w:val="副标题 字符"/>
    <w:basedOn w:val="a0"/>
    <w:rsid w:val="00BE000F"/>
    <w:rPr>
      <w:b/>
      <w:w w:val="100"/>
      <w:sz w:val="32"/>
      <w:szCs w:val="32"/>
      <w:shd w:val="clear" w:color="auto" w:fill="auto"/>
    </w:rPr>
  </w:style>
  <w:style w:type="character" w:customStyle="1" w:styleId="Char">
    <w:name w:val="副标题 Char"/>
    <w:link w:val="a5"/>
    <w:rsid w:val="00BE000F"/>
    <w:rPr>
      <w:rFonts w:ascii="Cambria" w:eastAsia="Times New Roman" w:hAnsi="Cambria"/>
      <w:b/>
      <w:w w:val="100"/>
      <w:sz w:val="32"/>
      <w:szCs w:val="32"/>
      <w:shd w:val="clear" w:color="auto" w:fill="auto"/>
    </w:rPr>
  </w:style>
  <w:style w:type="character" w:styleId="af3">
    <w:name w:val="Hyperlink"/>
    <w:basedOn w:val="a0"/>
    <w:unhideWhenUsed/>
    <w:rsid w:val="00BE000F"/>
    <w:rPr>
      <w:color w:val="0563C1" w:themeColor="hyperlink"/>
      <w:w w:val="100"/>
      <w:sz w:val="20"/>
      <w:szCs w:val="20"/>
      <w:u w:val="single"/>
      <w:shd w:val="clear" w:color="auto" w:fill="auto"/>
    </w:rPr>
  </w:style>
  <w:style w:type="paragraph" w:styleId="af4">
    <w:name w:val="Balloon Text"/>
    <w:basedOn w:val="a"/>
    <w:link w:val="Char2"/>
    <w:semiHidden/>
    <w:unhideWhenUsed/>
    <w:rsid w:val="00BE000F"/>
    <w:rPr>
      <w:sz w:val="18"/>
      <w:szCs w:val="18"/>
    </w:rPr>
  </w:style>
  <w:style w:type="character" w:customStyle="1" w:styleId="Char2">
    <w:name w:val="批注框文本 Char"/>
    <w:basedOn w:val="a0"/>
    <w:link w:val="af4"/>
    <w:semiHidden/>
    <w:rsid w:val="00BE000F"/>
    <w:rPr>
      <w:w w:val="100"/>
      <w:sz w:val="18"/>
      <w:szCs w:val="18"/>
      <w:shd w:val="clear" w:color="auto" w:fill="auto"/>
    </w:rPr>
  </w:style>
  <w:style w:type="character" w:customStyle="1" w:styleId="2Char">
    <w:name w:val="标题 2 Char"/>
    <w:link w:val="2"/>
    <w:uiPriority w:val="8"/>
    <w:qFormat/>
    <w:rsid w:val="00CC3107"/>
  </w:style>
  <w:style w:type="paragraph" w:styleId="af5">
    <w:name w:val="Normal Indent"/>
    <w:basedOn w:val="a"/>
    <w:rsid w:val="00CC3107"/>
    <w:pPr>
      <w:widowControl w:val="0"/>
      <w:adjustRightInd w:val="0"/>
      <w:spacing w:line="360" w:lineRule="atLeast"/>
      <w:ind w:firstLineChars="200" w:firstLine="420"/>
      <w:jc w:val="left"/>
      <w:textAlignment w:val="baseline"/>
    </w:pPr>
    <w:rPr>
      <w:rFonts w:ascii="Times New Roman" w:hAnsi="Times New Roman"/>
      <w:sz w:val="24"/>
      <w:szCs w:val="20"/>
    </w:rPr>
  </w:style>
  <w:style w:type="paragraph" w:styleId="af6">
    <w:name w:val="Body Text"/>
    <w:basedOn w:val="a"/>
    <w:link w:val="Char3"/>
    <w:uiPriority w:val="1"/>
    <w:unhideWhenUsed/>
    <w:qFormat/>
    <w:rsid w:val="00261175"/>
    <w:pPr>
      <w:widowControl w:val="0"/>
      <w:autoSpaceDE w:val="0"/>
      <w:autoSpaceDN w:val="0"/>
      <w:adjustRightInd w:val="0"/>
      <w:spacing w:before="2"/>
      <w:ind w:left="440"/>
      <w:jc w:val="left"/>
    </w:pPr>
    <w:rPr>
      <w:rFonts w:ascii="宋体" w:hAnsi="宋体" w:cs="宋体"/>
      <w:b/>
      <w:bCs/>
      <w:sz w:val="24"/>
      <w:szCs w:val="24"/>
    </w:rPr>
  </w:style>
  <w:style w:type="character" w:customStyle="1" w:styleId="Char3">
    <w:name w:val="正文文本 Char"/>
    <w:basedOn w:val="a0"/>
    <w:link w:val="af6"/>
    <w:uiPriority w:val="1"/>
    <w:rsid w:val="00261175"/>
    <w:rPr>
      <w:rFonts w:ascii="宋体" w:hAnsi="宋体" w:cs="宋体"/>
      <w:b/>
      <w:bCs/>
      <w:sz w:val="24"/>
      <w:szCs w:val="24"/>
    </w:rPr>
  </w:style>
  <w:style w:type="table" w:styleId="af7">
    <w:name w:val="Table Grid"/>
    <w:basedOn w:val="a1"/>
    <w:uiPriority w:val="59"/>
    <w:rsid w:val="00C41FDF"/>
    <w:rPr>
      <w:rFonts w:asciiTheme="minorHAnsi" w:eastAsiaTheme="minorEastAsia"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8B7283"/>
    <w:pPr>
      <w:widowControl w:val="0"/>
    </w:pPr>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divs>
    <w:div w:id="19291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618</Words>
  <Characters>3526</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 银锡</dc:creator>
  <cp:lastModifiedBy>User</cp:lastModifiedBy>
  <cp:revision>12</cp:revision>
  <dcterms:created xsi:type="dcterms:W3CDTF">2018-09-14T00:25:00Z</dcterms:created>
  <dcterms:modified xsi:type="dcterms:W3CDTF">2018-09-30T00:07:00Z</dcterms:modified>
</cp:coreProperties>
</file>