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kinsoku/>
        <w:overflowPunct/>
        <w:topLinePunct w:val="0"/>
        <w:autoSpaceDE w:val="0"/>
        <w:autoSpaceDN w:val="0"/>
        <w:bidi w:val="0"/>
        <w:adjustRightInd w:val="0"/>
        <w:snapToGrid/>
        <w:spacing w:line="560" w:lineRule="exact"/>
        <w:ind w:left="0" w:leftChars="0" w:right="0"/>
        <w:jc w:val="left"/>
        <w:textAlignment w:val="auto"/>
        <w:rPr>
          <w:rFonts w:hint="eastAsia" w:ascii="黑体" w:hAnsi="黑体" w:eastAsia="黑体" w:cs="Times New Roman"/>
          <w:snapToGrid/>
          <w:color w:val="000000"/>
          <w:kern w:val="2"/>
          <w:sz w:val="32"/>
          <w:szCs w:val="32"/>
          <w:lang w:val="en-US" w:eastAsia="zh-CN" w:bidi="ar-SA"/>
        </w:rPr>
      </w:pPr>
      <w:r>
        <w:rPr>
          <w:rFonts w:hint="eastAsia" w:ascii="黑体" w:hAnsi="黑体" w:eastAsia="黑体" w:cs="Times New Roman"/>
          <w:snapToGrid/>
          <w:color w:val="000000"/>
          <w:kern w:val="2"/>
          <w:sz w:val="32"/>
          <w:szCs w:val="32"/>
          <w:lang w:val="en-US" w:eastAsia="zh-CN" w:bidi="ar-SA"/>
        </w:rPr>
        <w:t>附件2</w:t>
      </w:r>
    </w:p>
    <w:p>
      <w:pPr>
        <w:keepNext w:val="0"/>
        <w:keepLines w:val="0"/>
        <w:pageBreakBefore w:val="0"/>
        <w:widowControl/>
        <w:overflowPunct/>
        <w:topLinePunct w:val="0"/>
        <w:bidi w:val="0"/>
        <w:adjustRightInd w:val="0"/>
        <w:snapToGrid w:val="0"/>
        <w:spacing w:line="560" w:lineRule="exact"/>
        <w:ind w:left="0" w:leftChars="0" w:right="0"/>
        <w:jc w:val="center"/>
        <w:rPr>
          <w:rFonts w:hint="eastAsia" w:ascii="方正小标宋简体" w:hAnsi="方正小标宋简体" w:eastAsia="方正小标宋简体" w:cs="方正小标宋简体"/>
          <w:color w:val="000000"/>
          <w:spacing w:val="-10"/>
          <w:sz w:val="44"/>
          <w:szCs w:val="44"/>
        </w:rPr>
      </w:pPr>
    </w:p>
    <w:p>
      <w:pPr>
        <w:keepNext w:val="0"/>
        <w:keepLines w:val="0"/>
        <w:pageBreakBefore w:val="0"/>
        <w:widowControl/>
        <w:overflowPunct/>
        <w:topLinePunct w:val="0"/>
        <w:bidi w:val="0"/>
        <w:adjustRightInd w:val="0"/>
        <w:snapToGrid w:val="0"/>
        <w:spacing w:line="560" w:lineRule="exact"/>
        <w:ind w:left="0" w:leftChars="0" w:right="0"/>
        <w:jc w:val="center"/>
        <w:rPr>
          <w:rFonts w:hint="eastAsia" w:ascii="方正小标宋简体" w:hAnsi="方正小标宋简体" w:eastAsia="方正小标宋简体" w:cs="方正小标宋简体"/>
          <w:color w:val="000000"/>
          <w:spacing w:val="-10"/>
          <w:sz w:val="44"/>
          <w:szCs w:val="44"/>
        </w:rPr>
      </w:pPr>
      <w:r>
        <w:rPr>
          <w:rFonts w:hint="eastAsia" w:ascii="方正小标宋简体" w:hAnsi="方正小标宋简体" w:eastAsia="方正小标宋简体" w:cs="方正小标宋简体"/>
          <w:color w:val="000000"/>
          <w:spacing w:val="-10"/>
          <w:sz w:val="44"/>
          <w:szCs w:val="44"/>
        </w:rPr>
        <w:t>第</w:t>
      </w:r>
      <w:r>
        <w:rPr>
          <w:rFonts w:hint="eastAsia" w:ascii="方正小标宋简体" w:hAnsi="方正小标宋简体" w:eastAsia="方正小标宋简体" w:cs="方正小标宋简体"/>
          <w:color w:val="000000"/>
          <w:spacing w:val="-10"/>
          <w:sz w:val="44"/>
          <w:szCs w:val="44"/>
          <w:lang w:val="en-US" w:eastAsia="zh-CN"/>
        </w:rPr>
        <w:t>七</w:t>
      </w:r>
      <w:r>
        <w:rPr>
          <w:rFonts w:hint="eastAsia" w:ascii="方正小标宋简体" w:hAnsi="方正小标宋简体" w:eastAsia="方正小标宋简体" w:cs="方正小标宋简体"/>
          <w:color w:val="000000"/>
          <w:spacing w:val="-10"/>
          <w:sz w:val="44"/>
          <w:szCs w:val="44"/>
        </w:rPr>
        <w:t>届全省高校网络教育优秀作品</w:t>
      </w:r>
    </w:p>
    <w:p>
      <w:pPr>
        <w:keepNext w:val="0"/>
        <w:keepLines w:val="0"/>
        <w:pageBreakBefore w:val="0"/>
        <w:widowControl/>
        <w:overflowPunct/>
        <w:topLinePunct w:val="0"/>
        <w:bidi w:val="0"/>
        <w:adjustRightInd w:val="0"/>
        <w:snapToGrid w:val="0"/>
        <w:spacing w:line="560" w:lineRule="exact"/>
        <w:ind w:left="0" w:leftChars="0" w:right="0"/>
        <w:jc w:val="center"/>
        <w:rPr>
          <w:rFonts w:hint="eastAsia" w:ascii="方正小标宋简体" w:hAnsi="方正小标宋简体" w:eastAsia="方正小标宋简体" w:cs="方正小标宋简体"/>
          <w:color w:val="000000"/>
          <w:spacing w:val="-10"/>
          <w:sz w:val="44"/>
          <w:szCs w:val="44"/>
        </w:rPr>
      </w:pPr>
      <w:r>
        <w:rPr>
          <w:rFonts w:hint="eastAsia" w:ascii="方正小标宋简体" w:hAnsi="方正小标宋简体" w:eastAsia="方正小标宋简体" w:cs="方正小标宋简体"/>
          <w:color w:val="000000"/>
          <w:spacing w:val="-10"/>
          <w:sz w:val="44"/>
          <w:szCs w:val="44"/>
        </w:rPr>
        <w:t>推选展示活动工作方案</w:t>
      </w:r>
    </w:p>
    <w:p>
      <w:pPr>
        <w:keepNext w:val="0"/>
        <w:keepLines w:val="0"/>
        <w:pageBreakBefore w:val="0"/>
        <w:widowControl/>
        <w:overflowPunct/>
        <w:topLinePunct w:val="0"/>
        <w:bidi w:val="0"/>
        <w:adjustRightInd w:val="0"/>
        <w:snapToGrid w:val="0"/>
        <w:spacing w:line="560" w:lineRule="exact"/>
        <w:ind w:left="0" w:leftChars="0" w:right="0"/>
        <w:jc w:val="center"/>
        <w:rPr>
          <w:rFonts w:hint="eastAsia" w:ascii="方正小标宋简体" w:hAnsi="方正小标宋简体" w:eastAsia="方正小标宋简体" w:cs="方正小标宋简体"/>
          <w:color w:val="000000"/>
          <w:spacing w:val="-1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8" w:firstLineChars="200"/>
        <w:jc w:val="both"/>
        <w:textAlignment w:val="baseline"/>
        <w:rPr>
          <w:rFonts w:hint="eastAsia" w:ascii="Times New Roman" w:hAnsi="Times New Roman" w:eastAsia="黑体" w:cs="黑体"/>
          <w:sz w:val="32"/>
          <w:szCs w:val="32"/>
        </w:rPr>
      </w:pPr>
      <w:r>
        <w:rPr>
          <w:rFonts w:hint="eastAsia" w:ascii="Times New Roman" w:hAnsi="Times New Roman" w:eastAsia="黑体" w:cs="黑体"/>
          <w:spacing w:val="7"/>
          <w:position w:val="4"/>
          <w:sz w:val="32"/>
          <w:szCs w:val="32"/>
        </w:rPr>
        <w:t>一、目的意义</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导，围绕“奋进新征程，建功新时代”主旋律，突出爱国爱党爱社会主义引领，鼓励引导广大高校思政工作者创作推出一批反映新时代高校网络思政教育的先进经验、典型案例、优秀作品，充分发挥其示范引领和模范带动作用，推动思想政治工作联网上线，深化网络文明建设，以实际行动践行党的二十大精神。</w:t>
      </w:r>
    </w:p>
    <w:p>
      <w:pPr>
        <w:keepNext w:val="0"/>
        <w:keepLines w:val="0"/>
        <w:pageBreakBefore w:val="0"/>
        <w:widowControl/>
        <w:kinsoku w:val="0"/>
        <w:overflowPunct/>
        <w:topLinePunct w:val="0"/>
        <w:autoSpaceDE w:val="0"/>
        <w:autoSpaceDN w:val="0"/>
        <w:bidi w:val="0"/>
        <w:adjustRightInd w:val="0"/>
        <w:snapToGrid w:val="0"/>
        <w:spacing w:line="580" w:lineRule="exact"/>
        <w:ind w:right="0" w:firstLine="668" w:firstLineChars="200"/>
        <w:jc w:val="both"/>
        <w:textAlignment w:val="baseline"/>
        <w:rPr>
          <w:rFonts w:hint="default" w:ascii="Times New Roman" w:hAnsi="Times New Roman" w:eastAsia="黑体" w:cs="黑体"/>
          <w:spacing w:val="7"/>
          <w:position w:val="4"/>
          <w:sz w:val="32"/>
          <w:szCs w:val="32"/>
        </w:rPr>
      </w:pPr>
      <w:r>
        <w:rPr>
          <w:rFonts w:hint="default" w:ascii="Times New Roman" w:hAnsi="Times New Roman" w:eastAsia="黑体" w:cs="黑体"/>
          <w:spacing w:val="7"/>
          <w:position w:val="4"/>
          <w:sz w:val="32"/>
          <w:szCs w:val="32"/>
        </w:rPr>
        <w:t>二、活动主题</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rPr>
        <w:t>争做校园好网民，汇聚网络正能量，挺膺担当建新功</w:t>
      </w:r>
      <w:r>
        <w:rPr>
          <w:rFonts w:hint="default" w:ascii="Times New Roman" w:hAnsi="Times New Roman" w:eastAsia="仿宋_GB2312" w:cs="仿宋_GB2312"/>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0" w:firstLine="672" w:firstLineChars="200"/>
        <w:jc w:val="both"/>
        <w:textAlignment w:val="baseline"/>
        <w:rPr>
          <w:rFonts w:hint="eastAsia" w:ascii="Times New Roman" w:hAnsi="Times New Roman" w:eastAsia="黑体" w:cs="黑体"/>
          <w:sz w:val="32"/>
          <w:szCs w:val="32"/>
        </w:rPr>
      </w:pPr>
      <w:r>
        <w:rPr>
          <w:rFonts w:hint="eastAsia" w:ascii="Times New Roman" w:hAnsi="Times New Roman" w:eastAsia="黑体" w:cs="黑体"/>
          <w:spacing w:val="8"/>
          <w:sz w:val="32"/>
          <w:szCs w:val="32"/>
        </w:rPr>
        <w:t>三</w:t>
      </w:r>
      <w:r>
        <w:rPr>
          <w:rFonts w:hint="eastAsia" w:ascii="Times New Roman" w:hAnsi="Times New Roman" w:eastAsia="黑体" w:cs="黑体"/>
          <w:spacing w:val="6"/>
          <w:sz w:val="32"/>
          <w:szCs w:val="32"/>
        </w:rPr>
        <w:t>、活动对象</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高校思想政治工作者、党务工作者或从事相关领域理论研究和实践工作的专业教师均可参与。</w:t>
      </w:r>
    </w:p>
    <w:p>
      <w:pPr>
        <w:keepNext w:val="0"/>
        <w:keepLines w:val="0"/>
        <w:pageBreakBefore w:val="0"/>
        <w:widowControl/>
        <w:kinsoku w:val="0"/>
        <w:overflowPunct/>
        <w:topLinePunct w:val="0"/>
        <w:autoSpaceDE w:val="0"/>
        <w:autoSpaceDN w:val="0"/>
        <w:bidi w:val="0"/>
        <w:adjustRightInd w:val="0"/>
        <w:snapToGrid w:val="0"/>
        <w:spacing w:line="580" w:lineRule="exact"/>
        <w:ind w:right="0" w:firstLine="668" w:firstLineChars="200"/>
        <w:jc w:val="both"/>
        <w:textAlignment w:val="baseline"/>
        <w:rPr>
          <w:rFonts w:hint="default" w:ascii="Times New Roman" w:hAnsi="Times New Roman" w:eastAsia="黑体" w:cs="黑体"/>
          <w:spacing w:val="7"/>
          <w:position w:val="4"/>
          <w:sz w:val="32"/>
          <w:szCs w:val="32"/>
        </w:rPr>
      </w:pPr>
      <w:r>
        <w:rPr>
          <w:rFonts w:hint="default" w:ascii="Times New Roman" w:hAnsi="Times New Roman" w:eastAsia="黑体" w:cs="黑体"/>
          <w:spacing w:val="7"/>
          <w:position w:val="4"/>
          <w:sz w:val="32"/>
          <w:szCs w:val="32"/>
        </w:rPr>
        <w:t>四、作品征集</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活动征集优秀网络文章、优秀工作案例、优秀微课、优秀新媒体作品4类作品。所有作品须为202</w:t>
      </w:r>
      <w:r>
        <w:rPr>
          <w:rFonts w:hint="eastAsia" w:ascii="Times New Roman" w:hAnsi="Times New Roman" w:eastAsia="仿宋_GB2312" w:cs="仿宋_GB2312"/>
          <w:sz w:val="32"/>
          <w:szCs w:val="32"/>
          <w:lang w:val="en-US" w:eastAsia="zh-CN"/>
        </w:rPr>
        <w:t>2</w:t>
      </w:r>
      <w:r>
        <w:rPr>
          <w:rFonts w:hint="default" w:ascii="Times New Roman" w:hAnsi="Times New Roman" w:eastAsia="仿宋_GB2312" w:cs="仿宋_GB2312"/>
          <w:sz w:val="32"/>
          <w:szCs w:val="32"/>
        </w:rPr>
        <w:t>年</w:t>
      </w:r>
      <w:r>
        <w:rPr>
          <w:rFonts w:hint="default" w:ascii="Times New Roman" w:hAnsi="Times New Roman" w:eastAsia="仿宋_GB2312" w:cs="仿宋_GB2312"/>
          <w:sz w:val="32"/>
          <w:szCs w:val="32"/>
          <w:lang w:val="en-US" w:eastAsia="zh-CN"/>
        </w:rPr>
        <w:t>10</w:t>
      </w:r>
      <w:r>
        <w:rPr>
          <w:rFonts w:hint="default" w:ascii="Times New Roman" w:hAnsi="Times New Roman" w:eastAsia="仿宋_GB2312" w:cs="仿宋_GB2312"/>
          <w:sz w:val="32"/>
          <w:szCs w:val="32"/>
        </w:rPr>
        <w:t>月1日至提交截止日期间在网络上发表的作品</w:t>
      </w:r>
      <w:r>
        <w:rPr>
          <w:rFonts w:hint="default" w:ascii="Times New Roman" w:hAnsi="Times New Roman" w:eastAsia="仿宋_GB2312" w:cs="仿宋_GB2312"/>
          <w:sz w:val="32"/>
          <w:szCs w:val="32"/>
          <w:lang w:eastAsia="zh-CN"/>
        </w:rPr>
        <w:t>，</w:t>
      </w:r>
      <w:r>
        <w:rPr>
          <w:rFonts w:hint="default" w:ascii="Times New Roman" w:hAnsi="Times New Roman" w:eastAsia="仿宋_GB2312" w:cs="仿宋_GB2312"/>
          <w:sz w:val="32"/>
          <w:szCs w:val="32"/>
          <w:lang w:val="en-US" w:eastAsia="zh-CN"/>
        </w:rPr>
        <w:t>并需提供有效网址链接</w:t>
      </w:r>
      <w:r>
        <w:rPr>
          <w:rFonts w:hint="default" w:ascii="Times New Roman" w:hAnsi="Times New Roman" w:eastAsia="仿宋_GB2312" w:cs="仿宋_GB2312"/>
          <w:sz w:val="32"/>
          <w:szCs w:val="32"/>
        </w:rPr>
        <w:t>。</w:t>
      </w:r>
    </w:p>
    <w:p>
      <w:pPr>
        <w:keepNext w:val="0"/>
        <w:keepLines w:val="0"/>
        <w:pageBreakBefore w:val="0"/>
        <w:widowControl/>
        <w:kinsoku w:val="0"/>
        <w:wordWrap w:val="0"/>
        <w:overflowPunct/>
        <w:topLinePunct w:val="0"/>
        <w:autoSpaceDE w:val="0"/>
        <w:autoSpaceDN w:val="0"/>
        <w:bidi w:val="0"/>
        <w:adjustRightInd w:val="0"/>
        <w:snapToGrid w:val="0"/>
        <w:spacing w:line="580" w:lineRule="exact"/>
        <w:ind w:right="0" w:firstLine="642" w:firstLineChars="200"/>
        <w:jc w:val="both"/>
        <w:textAlignment w:val="baseline"/>
        <w:rPr>
          <w:rFonts w:hint="eastAsia" w:ascii="Times New Roman" w:hAnsi="Times New Roman" w:eastAsia="楷体" w:cs="楷体"/>
          <w:b/>
          <w:bCs/>
          <w:sz w:val="32"/>
          <w:szCs w:val="32"/>
          <w:lang w:eastAsia="zh-CN"/>
        </w:rPr>
      </w:pPr>
      <w:r>
        <w:rPr>
          <w:rFonts w:hint="eastAsia" w:ascii="Times New Roman" w:hAnsi="Times New Roman" w:eastAsia="楷体" w:cs="楷体"/>
          <w:b/>
          <w:bCs/>
          <w:sz w:val="32"/>
          <w:szCs w:val="32"/>
          <w:lang w:eastAsia="zh-CN"/>
        </w:rPr>
        <w:t>（</w:t>
      </w:r>
      <w:r>
        <w:rPr>
          <w:rFonts w:hint="eastAsia" w:ascii="Times New Roman" w:hAnsi="Times New Roman" w:eastAsia="楷体" w:cs="楷体"/>
          <w:b/>
          <w:bCs/>
          <w:sz w:val="32"/>
          <w:szCs w:val="32"/>
          <w:lang w:val="en-US" w:eastAsia="zh-CN"/>
        </w:rPr>
        <w:t>一</w:t>
      </w:r>
      <w:r>
        <w:rPr>
          <w:rFonts w:hint="eastAsia" w:ascii="Times New Roman" w:hAnsi="Times New Roman" w:eastAsia="楷体" w:cs="楷体"/>
          <w:b/>
          <w:bCs/>
          <w:sz w:val="32"/>
          <w:szCs w:val="32"/>
          <w:lang w:eastAsia="zh-CN"/>
        </w:rPr>
        <w:t>）优秀网络文章</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rPr>
        <w:sectPr>
          <w:footerReference r:id="rId5" w:type="default"/>
          <w:pgSz w:w="11906" w:h="16839"/>
          <w:pgMar w:top="2098" w:right="1474" w:bottom="1984" w:left="1587" w:header="0" w:footer="895" w:gutter="0"/>
          <w:pgNumType w:start="16"/>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1人，且必须为文章第一作者。</w:t>
      </w:r>
      <w:r>
        <w:rPr>
          <w:rFonts w:hint="default" w:ascii="Times New Roman" w:hAnsi="Times New Roman" w:eastAsia="仿宋_GB2312" w:cs="仿宋_GB2312"/>
          <w:sz w:val="32"/>
          <w:szCs w:val="32"/>
          <w:lang w:val="en-US" w:eastAsia="zh-CN"/>
        </w:rPr>
        <w:t>入选后需提交作品文件</w:t>
      </w:r>
      <w:r>
        <w:rPr>
          <w:rFonts w:hint="eastAsia" w:ascii="Times New Roman" w:hAnsi="Times New Roman" w:eastAsia="仿宋_GB2312" w:cs="仿宋_GB2312"/>
          <w:sz w:val="32"/>
          <w:szCs w:val="32"/>
          <w:lang w:val="en-US" w:eastAsia="zh-CN"/>
        </w:rPr>
        <w:t>。</w:t>
      </w:r>
    </w:p>
    <w:p>
      <w:pPr>
        <w:keepNext w:val="0"/>
        <w:keepLines w:val="0"/>
        <w:pageBreakBefore w:val="0"/>
        <w:widowControl/>
        <w:kinsoku w:val="0"/>
        <w:wordWrap w:val="0"/>
        <w:overflowPunct/>
        <w:topLinePunct w:val="0"/>
        <w:autoSpaceDE w:val="0"/>
        <w:autoSpaceDN w:val="0"/>
        <w:bidi w:val="0"/>
        <w:adjustRightInd w:val="0"/>
        <w:snapToGrid w:val="0"/>
        <w:spacing w:line="580" w:lineRule="exact"/>
        <w:ind w:right="0" w:firstLine="642" w:firstLineChars="200"/>
        <w:jc w:val="both"/>
        <w:textAlignment w:val="baseline"/>
        <w:rPr>
          <w:rFonts w:hint="default" w:ascii="Times New Roman" w:hAnsi="Times New Roman" w:eastAsia="楷体" w:cs="楷体"/>
          <w:b/>
          <w:bCs/>
          <w:sz w:val="32"/>
          <w:szCs w:val="32"/>
          <w:lang w:eastAsia="zh-CN"/>
        </w:rPr>
      </w:pPr>
      <w:r>
        <w:rPr>
          <w:rFonts w:hint="default" w:ascii="Times New Roman" w:hAnsi="Times New Roman" w:eastAsia="楷体" w:cs="楷体"/>
          <w:b/>
          <w:bCs/>
          <w:sz w:val="32"/>
          <w:szCs w:val="32"/>
          <w:lang w:eastAsia="zh-CN"/>
        </w:rPr>
        <w:t>（</w:t>
      </w:r>
      <w:r>
        <w:rPr>
          <w:rFonts w:hint="default" w:ascii="Times New Roman" w:hAnsi="Times New Roman" w:eastAsia="楷体" w:cs="楷体"/>
          <w:b/>
          <w:bCs/>
          <w:sz w:val="32"/>
          <w:szCs w:val="32"/>
          <w:lang w:val="en-US" w:eastAsia="zh-CN"/>
        </w:rPr>
        <w:t>二</w:t>
      </w:r>
      <w:r>
        <w:rPr>
          <w:rFonts w:hint="default" w:ascii="Times New Roman" w:hAnsi="Times New Roman" w:eastAsia="楷体" w:cs="楷体"/>
          <w:b/>
          <w:bCs/>
          <w:sz w:val="32"/>
          <w:szCs w:val="32"/>
          <w:lang w:eastAsia="zh-CN"/>
        </w:rPr>
        <w:t>）优秀工作案例</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可围绕个人或团队（高校网络思政工作室、理论社团、心理咨询室、创新创业工作室等）在创新网络思想政治工作、提升师生网络素养、开展网络文化建设、推进网络文明教育、营造清朗网络空间工作过程中探索施行的好经验、好做法及维护运行的平台及栏目，或在开展学生工作中利用网络对遇到的热点、难点、重点、突发事件等进行释疑解惑和深度辅导过程中形成的好经验、好做法进行撰写，并在此基础上进行剖析、总结、提炼形成的新对策新经验。案例需已形成一定的典型性经验，有固定工作平台、可靠条件保障、长效工作机制和明显育人实效，可示范、可复制、可推广。</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案例内容应包括项目主题和思路、实施方法和过程、主要成效和经验、下一步加强和改进的计划等，要求文字简洁、重点突出，字数3000字以上，可配说明图片和视频。每件作品作者限3人以内。</w:t>
      </w:r>
      <w:r>
        <w:rPr>
          <w:rFonts w:hint="default" w:ascii="Times New Roman" w:hAnsi="Times New Roman" w:eastAsia="仿宋_GB2312" w:cs="仿宋_GB2312"/>
          <w:sz w:val="32"/>
          <w:szCs w:val="32"/>
          <w:lang w:val="en-US" w:eastAsia="zh-CN"/>
        </w:rPr>
        <w:t>入选后需提交作品文件</w:t>
      </w:r>
      <w:r>
        <w:rPr>
          <w:rFonts w:hint="eastAsia" w:ascii="Times New Roman" w:hAnsi="Times New Roman" w:eastAsia="仿宋_GB2312" w:cs="仿宋_GB2312"/>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rPr>
        <w:sectPr>
          <w:footerReference r:id="rId6" w:type="default"/>
          <w:pgSz w:w="11906" w:h="16839"/>
          <w:pgMar w:top="2098" w:right="1474" w:bottom="1984" w:left="1587" w:header="0" w:footer="895" w:gutter="0"/>
          <w:pgNumType w:start="17"/>
          <w:cols w:space="720" w:num="1"/>
        </w:sectPr>
      </w:pPr>
    </w:p>
    <w:p>
      <w:pPr>
        <w:keepNext w:val="0"/>
        <w:keepLines w:val="0"/>
        <w:pageBreakBefore w:val="0"/>
        <w:widowControl/>
        <w:kinsoku w:val="0"/>
        <w:wordWrap w:val="0"/>
        <w:overflowPunct/>
        <w:topLinePunct w:val="0"/>
        <w:autoSpaceDE w:val="0"/>
        <w:autoSpaceDN w:val="0"/>
        <w:bidi w:val="0"/>
        <w:adjustRightInd w:val="0"/>
        <w:snapToGrid w:val="0"/>
        <w:spacing w:line="580" w:lineRule="exact"/>
        <w:ind w:right="0" w:firstLine="642" w:firstLineChars="200"/>
        <w:jc w:val="both"/>
        <w:textAlignment w:val="baseline"/>
        <w:rPr>
          <w:rFonts w:hint="default" w:ascii="Times New Roman" w:hAnsi="Times New Roman" w:eastAsia="仿宋_GB2312" w:cs="仿宋_GB2312"/>
          <w:sz w:val="32"/>
          <w:szCs w:val="32"/>
        </w:rPr>
      </w:pPr>
      <w:r>
        <w:rPr>
          <w:rFonts w:hint="eastAsia" w:ascii="Times New Roman" w:hAnsi="Times New Roman" w:eastAsia="楷体" w:cs="楷体"/>
          <w:b/>
          <w:bCs/>
          <w:sz w:val="32"/>
          <w:szCs w:val="32"/>
          <w:lang w:eastAsia="zh-CN"/>
        </w:rPr>
        <w:t>（</w:t>
      </w:r>
      <w:r>
        <w:rPr>
          <w:rFonts w:hint="eastAsia" w:ascii="Times New Roman" w:hAnsi="Times New Roman" w:eastAsia="楷体" w:cs="楷体"/>
          <w:b/>
          <w:bCs/>
          <w:sz w:val="32"/>
          <w:szCs w:val="32"/>
          <w:lang w:val="en-US" w:eastAsia="zh-CN"/>
        </w:rPr>
        <w:t>三</w:t>
      </w:r>
      <w:r>
        <w:rPr>
          <w:rFonts w:hint="eastAsia" w:ascii="Times New Roman" w:hAnsi="Times New Roman" w:eastAsia="楷体" w:cs="楷体"/>
          <w:b/>
          <w:bCs/>
          <w:sz w:val="32"/>
          <w:szCs w:val="32"/>
          <w:lang w:eastAsia="zh-CN"/>
        </w:rPr>
        <w:t>）优秀微课</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w:t>
      </w:r>
      <w:r>
        <w:rPr>
          <w:rFonts w:hint="default" w:ascii="Times New Roman" w:hAnsi="Times New Roman" w:eastAsia="仿宋_GB2312" w:cs="仿宋_GB2312"/>
          <w:spacing w:val="-20"/>
          <w:sz w:val="32"/>
          <w:szCs w:val="32"/>
        </w:rPr>
        <w:t>等方面具有较高的水平。标题简洁，目标明确，有个性和特色，</w:t>
      </w:r>
      <w:r>
        <w:rPr>
          <w:rFonts w:hint="default" w:ascii="Times New Roman" w:hAnsi="Times New Roman" w:eastAsia="仿宋_GB2312" w:cs="仿宋_GB2312"/>
          <w:sz w:val="32"/>
          <w:szCs w:val="32"/>
        </w:rPr>
        <w:t>作品片长不超过15分钟；画质清晰，声音清楚，提倡标注字幕。每件作品作者限3人以内。</w:t>
      </w:r>
      <w:r>
        <w:rPr>
          <w:rFonts w:hint="default" w:ascii="Times New Roman" w:hAnsi="Times New Roman" w:eastAsia="仿宋_GB2312" w:cs="仿宋_GB2312"/>
          <w:sz w:val="32"/>
          <w:szCs w:val="32"/>
          <w:lang w:val="en-US" w:eastAsia="zh-CN"/>
        </w:rPr>
        <w:t>入选后需提交作品文件</w:t>
      </w:r>
      <w:r>
        <w:rPr>
          <w:rFonts w:hint="eastAsia" w:ascii="Times New Roman" w:hAnsi="Times New Roman" w:eastAsia="仿宋_GB2312" w:cs="仿宋_GB2312"/>
          <w:sz w:val="32"/>
          <w:szCs w:val="32"/>
          <w:lang w:val="en-US" w:eastAsia="zh-CN"/>
        </w:rPr>
        <w:t>。</w:t>
      </w:r>
    </w:p>
    <w:p>
      <w:pPr>
        <w:keepNext w:val="0"/>
        <w:keepLines w:val="0"/>
        <w:pageBreakBefore w:val="0"/>
        <w:widowControl/>
        <w:kinsoku w:val="0"/>
        <w:wordWrap w:val="0"/>
        <w:overflowPunct/>
        <w:topLinePunct w:val="0"/>
        <w:autoSpaceDE w:val="0"/>
        <w:autoSpaceDN w:val="0"/>
        <w:bidi w:val="0"/>
        <w:adjustRightInd w:val="0"/>
        <w:snapToGrid w:val="0"/>
        <w:spacing w:line="580" w:lineRule="exact"/>
        <w:ind w:right="0" w:firstLine="642" w:firstLineChars="200"/>
        <w:jc w:val="both"/>
        <w:textAlignment w:val="baseline"/>
        <w:rPr>
          <w:rFonts w:hint="default" w:ascii="Times New Roman" w:hAnsi="Times New Roman" w:eastAsia="楷体" w:cs="楷体"/>
          <w:b/>
          <w:bCs/>
          <w:sz w:val="32"/>
          <w:szCs w:val="32"/>
          <w:lang w:eastAsia="zh-CN"/>
        </w:rPr>
      </w:pPr>
      <w:r>
        <w:rPr>
          <w:rFonts w:hint="default" w:ascii="Times New Roman" w:hAnsi="Times New Roman" w:eastAsia="楷体" w:cs="楷体"/>
          <w:b/>
          <w:bCs/>
          <w:sz w:val="32"/>
          <w:szCs w:val="32"/>
          <w:lang w:eastAsia="zh-CN"/>
        </w:rPr>
        <w:t>（</w:t>
      </w:r>
      <w:r>
        <w:rPr>
          <w:rFonts w:hint="default" w:ascii="Times New Roman" w:hAnsi="Times New Roman" w:eastAsia="楷体" w:cs="楷体"/>
          <w:b/>
          <w:bCs/>
          <w:sz w:val="32"/>
          <w:szCs w:val="32"/>
          <w:lang w:val="en-US" w:eastAsia="zh-CN"/>
        </w:rPr>
        <w:t>四</w:t>
      </w:r>
      <w:r>
        <w:rPr>
          <w:rFonts w:hint="default" w:ascii="Times New Roman" w:hAnsi="Times New Roman" w:eastAsia="楷体" w:cs="楷体"/>
          <w:b/>
          <w:bCs/>
          <w:sz w:val="32"/>
          <w:szCs w:val="32"/>
          <w:lang w:eastAsia="zh-CN"/>
        </w:rPr>
        <w:t>）优秀新媒体作品</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高校运用新媒体手段进行的宣传报道、经验分享及成果展</w:t>
      </w:r>
      <w:r>
        <w:rPr>
          <w:rFonts w:hint="default" w:ascii="Times New Roman" w:hAnsi="Times New Roman" w:eastAsia="仿宋_GB2312" w:cs="仿宋_GB2312"/>
          <w:spacing w:val="-20"/>
          <w:sz w:val="32"/>
          <w:szCs w:val="32"/>
        </w:rPr>
        <w:t>示等，在网络上有较大影响力，有较高的转发、评论和引用量，</w:t>
      </w:r>
      <w:r>
        <w:rPr>
          <w:rFonts w:hint="default" w:ascii="Times New Roman" w:hAnsi="Times New Roman" w:eastAsia="仿宋_GB2312" w:cs="仿宋_GB2312"/>
          <w:sz w:val="32"/>
          <w:szCs w:val="32"/>
        </w:rPr>
        <w:t>体现高校在思想政治工作中的创新方式方法。作品包括短视频、微电影、公益广告、校园MV、音频、H5作品、图解、漫画、长图及动图等。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视频类作品，片长不超过10分钟，画质清晰，声音清楚，提倡标注字幕</w:t>
      </w:r>
      <w:r>
        <w:rPr>
          <w:rFonts w:hint="default" w:ascii="Times New Roman" w:hAnsi="Times New Roman" w:eastAsia="仿宋_GB2312" w:cs="仿宋_GB2312"/>
          <w:sz w:val="32"/>
          <w:szCs w:val="32"/>
          <w:lang w:eastAsia="zh-CN"/>
        </w:rPr>
        <w:t>，</w:t>
      </w:r>
      <w:r>
        <w:rPr>
          <w:rFonts w:hint="default" w:ascii="Times New Roman" w:hAnsi="Times New Roman" w:eastAsia="仿宋_GB2312" w:cs="仿宋_GB2312"/>
          <w:sz w:val="32"/>
          <w:szCs w:val="32"/>
          <w:lang w:val="en-US" w:eastAsia="zh-CN"/>
        </w:rPr>
        <w:t>入选后</w:t>
      </w:r>
      <w:r>
        <w:rPr>
          <w:rFonts w:hint="eastAsia" w:ascii="Times New Roman" w:hAnsi="Times New Roman" w:eastAsia="仿宋_GB2312" w:cs="仿宋_GB2312"/>
          <w:sz w:val="32"/>
          <w:szCs w:val="32"/>
          <w:lang w:val="en-US" w:eastAsia="zh-CN"/>
        </w:rPr>
        <w:t>需</w:t>
      </w:r>
      <w:r>
        <w:rPr>
          <w:rFonts w:hint="default" w:ascii="Times New Roman" w:hAnsi="Times New Roman" w:eastAsia="仿宋_GB2312" w:cs="仿宋_GB2312"/>
          <w:sz w:val="32"/>
          <w:szCs w:val="32"/>
          <w:lang w:val="en-US" w:eastAsia="zh-CN"/>
        </w:rPr>
        <w:t>提</w:t>
      </w:r>
      <w:r>
        <w:rPr>
          <w:rFonts w:hint="eastAsia" w:ascii="Times New Roman" w:hAnsi="Times New Roman" w:eastAsia="仿宋_GB2312" w:cs="仿宋_GB2312"/>
          <w:sz w:val="32"/>
          <w:szCs w:val="32"/>
          <w:lang w:val="en-US" w:eastAsia="zh-CN"/>
        </w:rPr>
        <w:t>交</w:t>
      </w:r>
      <w:r>
        <w:rPr>
          <w:rFonts w:hint="default" w:ascii="Times New Roman" w:hAnsi="Times New Roman" w:eastAsia="仿宋_GB2312" w:cs="仿宋_GB2312"/>
          <w:sz w:val="32"/>
          <w:szCs w:val="32"/>
        </w:rPr>
        <w:t>MP4</w:t>
      </w:r>
      <w:r>
        <w:rPr>
          <w:rFonts w:hint="default" w:ascii="Times New Roman" w:hAnsi="Times New Roman" w:eastAsia="仿宋_GB2312" w:cs="仿宋_GB2312"/>
          <w:sz w:val="32"/>
          <w:szCs w:val="32"/>
          <w:lang w:val="en-US" w:eastAsia="zh-CN"/>
        </w:rPr>
        <w:t>格式源文件。</w:t>
      </w:r>
      <w:r>
        <w:rPr>
          <w:rFonts w:hint="default" w:ascii="Times New Roman" w:hAnsi="Times New Roman" w:eastAsia="仿宋_GB2312" w:cs="仿宋_GB2312"/>
          <w:sz w:val="32"/>
          <w:szCs w:val="32"/>
        </w:rPr>
        <w:t>图解类、长图类、漫画类作品，提交图片文件，JPEG格式。动图类作品，</w:t>
      </w:r>
      <w:r>
        <w:rPr>
          <w:rFonts w:hint="default" w:ascii="Times New Roman" w:hAnsi="Times New Roman" w:eastAsia="仿宋_GB2312" w:cs="仿宋_GB2312"/>
          <w:sz w:val="32"/>
          <w:szCs w:val="32"/>
          <w:lang w:val="en-US" w:eastAsia="zh-CN"/>
        </w:rPr>
        <w:t>入选后</w:t>
      </w:r>
      <w:r>
        <w:rPr>
          <w:rFonts w:hint="eastAsia" w:ascii="Times New Roman" w:hAnsi="Times New Roman" w:eastAsia="仿宋_GB2312" w:cs="仿宋_GB2312"/>
          <w:sz w:val="32"/>
          <w:szCs w:val="32"/>
          <w:lang w:val="en-US" w:eastAsia="zh-CN"/>
        </w:rPr>
        <w:t>需</w:t>
      </w:r>
      <w:r>
        <w:rPr>
          <w:rFonts w:hint="default" w:ascii="Times New Roman" w:hAnsi="Times New Roman" w:eastAsia="仿宋_GB2312" w:cs="仿宋_GB2312"/>
          <w:sz w:val="32"/>
          <w:szCs w:val="32"/>
          <w:lang w:val="en-US" w:eastAsia="zh-CN"/>
        </w:rPr>
        <w:t>提</w:t>
      </w:r>
      <w:r>
        <w:rPr>
          <w:rFonts w:hint="eastAsia" w:ascii="Times New Roman" w:hAnsi="Times New Roman" w:eastAsia="仿宋_GB2312" w:cs="仿宋_GB2312"/>
          <w:sz w:val="32"/>
          <w:szCs w:val="32"/>
          <w:lang w:val="en-US" w:eastAsia="zh-CN"/>
        </w:rPr>
        <w:t>交</w:t>
      </w:r>
      <w:r>
        <w:rPr>
          <w:rFonts w:hint="default" w:ascii="Times New Roman" w:hAnsi="Times New Roman" w:eastAsia="仿宋_GB2312" w:cs="仿宋_GB2312"/>
          <w:sz w:val="32"/>
          <w:szCs w:val="32"/>
        </w:rPr>
        <w:t>图片文件，GIF格式。H5页面类作品，提交网络链接。音频类作品，时长不超过5分钟，格式统一为MP3，以Word形式提供音频文字，保证音质清晰流畅，有听觉美感，可</w:t>
      </w:r>
      <w:r>
        <w:rPr>
          <w:rFonts w:hint="default" w:ascii="Times New Roman" w:hAnsi="Times New Roman" w:eastAsia="仿宋_GB2312" w:cs="仿宋_GB2312"/>
          <w:spacing w:val="-11"/>
          <w:sz w:val="32"/>
          <w:szCs w:val="32"/>
        </w:rPr>
        <w:t>根据需要配音效或进行其他后期制作。每件作品作者限6人以内。</w:t>
      </w:r>
    </w:p>
    <w:p>
      <w:pPr>
        <w:keepNext w:val="0"/>
        <w:keepLines w:val="0"/>
        <w:pageBreakBefore w:val="0"/>
        <w:widowControl/>
        <w:numPr>
          <w:ilvl w:val="0"/>
          <w:numId w:val="0"/>
        </w:numPr>
        <w:kinsoku w:val="0"/>
        <w:overflowPunct/>
        <w:topLinePunct w:val="0"/>
        <w:autoSpaceDE w:val="0"/>
        <w:autoSpaceDN w:val="0"/>
        <w:bidi w:val="0"/>
        <w:adjustRightInd w:val="0"/>
        <w:snapToGrid w:val="0"/>
        <w:spacing w:line="560" w:lineRule="exact"/>
        <w:ind w:right="0" w:rightChars="0" w:firstLine="640" w:firstLineChars="200"/>
        <w:jc w:val="both"/>
        <w:textAlignment w:val="baseline"/>
        <w:rPr>
          <w:rFonts w:hint="eastAsia" w:ascii="Times New Roman" w:hAnsi="Times New Roman" w:eastAsia="黑体" w:cs="黑体"/>
          <w:color w:val="000000"/>
          <w:sz w:val="32"/>
          <w:szCs w:val="32"/>
        </w:rPr>
      </w:pPr>
      <w:r>
        <w:rPr>
          <w:rFonts w:hint="default" w:ascii="Times New Roman" w:hAnsi="Times New Roman" w:eastAsia="黑体" w:cs="黑体"/>
          <w:color w:val="000000"/>
          <w:sz w:val="32"/>
          <w:szCs w:val="32"/>
          <w:lang w:val="en"/>
        </w:rPr>
        <w:t>五、</w:t>
      </w:r>
      <w:r>
        <w:rPr>
          <w:rFonts w:hint="eastAsia" w:ascii="Times New Roman" w:hAnsi="Times New Roman" w:eastAsia="黑体" w:cs="黑体"/>
          <w:color w:val="000000"/>
          <w:sz w:val="32"/>
          <w:szCs w:val="32"/>
        </w:rPr>
        <w:t>作品提交</w:t>
      </w:r>
    </w:p>
    <w:p>
      <w:pPr>
        <w:keepNext w:val="0"/>
        <w:keepLines w:val="0"/>
        <w:pageBreakBefore w:val="0"/>
        <w:widowControl/>
        <w:kinsoku w:val="0"/>
        <w:wordWrap w:val="0"/>
        <w:overflowPunct/>
        <w:topLinePunct w:val="0"/>
        <w:autoSpaceDE w:val="0"/>
        <w:autoSpaceDN w:val="0"/>
        <w:bidi w:val="0"/>
        <w:adjustRightInd w:val="0"/>
        <w:snapToGrid w:val="0"/>
        <w:spacing w:line="580" w:lineRule="exact"/>
        <w:ind w:right="0" w:firstLine="642" w:firstLineChars="200"/>
        <w:jc w:val="both"/>
        <w:textAlignment w:val="baseline"/>
        <w:rPr>
          <w:rFonts w:hint="eastAsia" w:ascii="Times New Roman" w:hAnsi="Times New Roman" w:eastAsia="楷体" w:cs="楷体"/>
          <w:b/>
          <w:bCs/>
          <w:sz w:val="32"/>
          <w:szCs w:val="32"/>
        </w:rPr>
      </w:pPr>
      <w:r>
        <w:rPr>
          <w:rFonts w:hint="eastAsia" w:ascii="Times New Roman" w:hAnsi="Times New Roman" w:eastAsia="楷体" w:cs="楷体"/>
          <w:b/>
          <w:bCs/>
          <w:sz w:val="32"/>
          <w:szCs w:val="32"/>
        </w:rPr>
        <w:t>（一）推荐数量</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lang w:val="en-US" w:eastAsia="zh-CN"/>
        </w:rPr>
        <w:t>各高校</w:t>
      </w:r>
      <w:r>
        <w:rPr>
          <w:rFonts w:hint="default" w:ascii="Times New Roman" w:hAnsi="Times New Roman" w:eastAsia="仿宋_GB2312" w:cs="仿宋_GB2312"/>
          <w:sz w:val="32"/>
          <w:szCs w:val="32"/>
        </w:rPr>
        <w:t>每类优秀作品至少推荐2件。</w:t>
      </w:r>
    </w:p>
    <w:p>
      <w:pPr>
        <w:keepNext w:val="0"/>
        <w:keepLines w:val="0"/>
        <w:pageBreakBefore w:val="0"/>
        <w:widowControl/>
        <w:kinsoku w:val="0"/>
        <w:wordWrap w:val="0"/>
        <w:overflowPunct/>
        <w:topLinePunct w:val="0"/>
        <w:autoSpaceDE w:val="0"/>
        <w:autoSpaceDN w:val="0"/>
        <w:bidi w:val="0"/>
        <w:adjustRightInd w:val="0"/>
        <w:snapToGrid w:val="0"/>
        <w:spacing w:line="580" w:lineRule="exact"/>
        <w:ind w:right="0" w:firstLine="642" w:firstLineChars="200"/>
        <w:jc w:val="both"/>
        <w:textAlignment w:val="baseline"/>
        <w:rPr>
          <w:rFonts w:hint="default" w:ascii="Times New Roman" w:hAnsi="Times New Roman" w:eastAsia="楷体" w:cs="楷体"/>
          <w:b/>
          <w:bCs/>
          <w:sz w:val="32"/>
          <w:szCs w:val="32"/>
        </w:rPr>
      </w:pPr>
      <w:r>
        <w:rPr>
          <w:rFonts w:hint="default" w:ascii="Times New Roman" w:hAnsi="Times New Roman" w:eastAsia="楷体" w:cs="楷体"/>
          <w:b/>
          <w:bCs/>
          <w:sz w:val="32"/>
          <w:szCs w:val="32"/>
        </w:rPr>
        <w:t>（二）材料报送</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rPr>
        <w:t>.所有</w:t>
      </w:r>
      <w:r>
        <w:rPr>
          <w:rFonts w:hint="default" w:ascii="Times New Roman" w:hAnsi="Times New Roman" w:eastAsia="仿宋_GB2312" w:cs="仿宋_GB2312"/>
          <w:spacing w:val="-20"/>
          <w:sz w:val="32"/>
          <w:szCs w:val="32"/>
        </w:rPr>
        <w:t>参赛作品均须提交有效的长期网址链接</w:t>
      </w:r>
      <w:r>
        <w:rPr>
          <w:rFonts w:hint="default" w:ascii="Times New Roman" w:hAnsi="Times New Roman" w:eastAsia="仿宋_GB2312" w:cs="仿宋_GB2312"/>
          <w:spacing w:val="-20"/>
          <w:sz w:val="32"/>
          <w:szCs w:val="32"/>
          <w:lang w:eastAsia="zh-CN"/>
        </w:rPr>
        <w:t>（</w:t>
      </w:r>
      <w:r>
        <w:rPr>
          <w:rFonts w:hint="default" w:ascii="Times New Roman" w:hAnsi="Times New Roman" w:eastAsia="仿宋_GB2312" w:cs="仿宋_GB2312"/>
          <w:spacing w:val="-20"/>
          <w:sz w:val="32"/>
          <w:szCs w:val="32"/>
          <w:lang w:val="en-US" w:eastAsia="zh-CN"/>
        </w:rPr>
        <w:t>非网盘</w:t>
      </w:r>
      <w:r>
        <w:rPr>
          <w:rFonts w:hint="default" w:ascii="Times New Roman" w:hAnsi="Times New Roman" w:eastAsia="仿宋_GB2312" w:cs="仿宋_GB2312"/>
          <w:spacing w:val="-20"/>
          <w:sz w:val="32"/>
          <w:szCs w:val="32"/>
          <w:lang w:eastAsia="zh-CN"/>
        </w:rPr>
        <w:t>）</w:t>
      </w:r>
      <w:r>
        <w:rPr>
          <w:rFonts w:hint="default" w:ascii="Times New Roman" w:hAnsi="Times New Roman" w:eastAsia="仿宋_GB2312" w:cs="仿宋_GB2312"/>
          <w:spacing w:val="-20"/>
          <w:sz w:val="32"/>
          <w:szCs w:val="32"/>
        </w:rPr>
        <w:t>。</w:t>
      </w:r>
      <w:r>
        <w:rPr>
          <w:rFonts w:hint="default" w:ascii="Times New Roman" w:hAnsi="Times New Roman" w:eastAsia="仿宋_GB2312" w:cs="仿宋_GB2312"/>
          <w:spacing w:val="-20"/>
          <w:sz w:val="32"/>
          <w:szCs w:val="32"/>
          <w:lang w:val="en-US" w:eastAsia="zh-CN"/>
        </w:rPr>
        <w:t>各高校</w:t>
      </w:r>
      <w:r>
        <w:rPr>
          <w:rFonts w:hint="eastAsia" w:ascii="Times New Roman" w:hAnsi="Times New Roman" w:eastAsia="仿宋_GB2312" w:cs="仿宋_GB2312"/>
          <w:spacing w:val="-20"/>
          <w:sz w:val="32"/>
          <w:szCs w:val="32"/>
          <w:lang w:val="en-US" w:eastAsia="zh-CN"/>
        </w:rPr>
        <w:t>负责</w:t>
      </w:r>
      <w:r>
        <w:rPr>
          <w:rFonts w:hint="default" w:ascii="Times New Roman" w:hAnsi="Times New Roman" w:eastAsia="仿宋_GB2312" w:cs="仿宋_GB2312"/>
          <w:sz w:val="32"/>
          <w:szCs w:val="32"/>
          <w:lang w:val="en-US" w:eastAsia="zh-CN"/>
        </w:rPr>
        <w:t>审核把关推荐作品，统一</w:t>
      </w:r>
      <w:r>
        <w:rPr>
          <w:rFonts w:hint="eastAsia" w:ascii="Times New Roman" w:hAnsi="Times New Roman" w:eastAsia="仿宋_GB2312" w:cs="仿宋_GB2312"/>
          <w:sz w:val="32"/>
          <w:szCs w:val="32"/>
          <w:lang w:val="en-US" w:eastAsia="zh-CN"/>
        </w:rPr>
        <w:t>填写</w:t>
      </w:r>
      <w:r>
        <w:rPr>
          <w:rFonts w:hint="default" w:ascii="Times New Roman" w:hAnsi="Times New Roman" w:eastAsia="仿宋_GB2312" w:cs="仿宋_GB2312"/>
          <w:sz w:val="32"/>
          <w:szCs w:val="32"/>
        </w:rPr>
        <w:t>《第七届全省高校网络教育优秀作品推选展示活动信息表》（附件</w:t>
      </w:r>
      <w:r>
        <w:rPr>
          <w:rFonts w:hint="default" w:ascii="Times New Roman" w:hAnsi="Times New Roman" w:eastAsia="仿宋_GB2312" w:cs="仿宋_GB2312"/>
          <w:sz w:val="32"/>
          <w:szCs w:val="32"/>
          <w:lang w:val="en-US" w:eastAsia="zh-CN"/>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仿宋_GB2312"/>
          <w:sz w:val="32"/>
          <w:szCs w:val="32"/>
        </w:rPr>
        <w:t>2）和《第七届全省高校网络教育优秀作品推选展示活动汇总表》（附件</w:t>
      </w:r>
      <w:r>
        <w:rPr>
          <w:rFonts w:hint="default" w:ascii="Times New Roman" w:hAnsi="Times New Roman" w:eastAsia="仿宋_GB2312" w:cs="仿宋_GB2312"/>
          <w:sz w:val="32"/>
          <w:szCs w:val="32"/>
          <w:lang w:val="en-US" w:eastAsia="zh-CN"/>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仿宋_GB2312"/>
          <w:sz w:val="32"/>
          <w:szCs w:val="32"/>
        </w:rPr>
        <w:t>3），</w:t>
      </w:r>
      <w:r>
        <w:rPr>
          <w:rFonts w:hint="default" w:ascii="Times New Roman" w:hAnsi="Times New Roman" w:eastAsia="仿宋_GB2312" w:cs="仿宋_GB2312"/>
          <w:sz w:val="32"/>
          <w:szCs w:val="32"/>
          <w:lang w:val="en-US" w:eastAsia="zh-CN"/>
        </w:rPr>
        <w:t>加盖高校公章，并指定一名联络员统一通过省高校</w:t>
      </w:r>
      <w:r>
        <w:rPr>
          <w:rFonts w:hint="eastAsia" w:ascii="Times New Roman" w:hAnsi="Times New Roman" w:eastAsia="仿宋_GB2312" w:cs="仿宋_GB2312"/>
          <w:sz w:val="32"/>
          <w:szCs w:val="32"/>
          <w:lang w:val="en-US" w:eastAsia="zh-CN"/>
        </w:rPr>
        <w:t>思想政治工作网</w:t>
      </w:r>
      <w:r>
        <w:rPr>
          <w:rFonts w:hint="default" w:ascii="Times New Roman" w:hAnsi="Times New Roman" w:eastAsia="仿宋_GB2312" w:cs="仿宋_GB2312"/>
          <w:sz w:val="32"/>
          <w:szCs w:val="32"/>
          <w:lang w:val="en-US" w:eastAsia="zh-CN"/>
        </w:rPr>
        <w:t>（http://gxsz.hlju.edu.cn/）</w:t>
      </w:r>
      <w:r>
        <w:rPr>
          <w:rFonts w:hint="eastAsia" w:ascii="Times New Roman" w:hAnsi="Times New Roman" w:eastAsia="仿宋_GB2312" w:cs="仿宋_GB2312"/>
          <w:sz w:val="32"/>
          <w:szCs w:val="32"/>
          <w:lang w:eastAsia="zh-CN"/>
        </w:rPr>
        <w:t>“</w:t>
      </w:r>
      <w:r>
        <w:rPr>
          <w:rFonts w:hint="default" w:ascii="Times New Roman" w:hAnsi="Times New Roman" w:eastAsia="仿宋_GB2312" w:cs="仿宋_GB2312"/>
          <w:sz w:val="32"/>
          <w:szCs w:val="32"/>
        </w:rPr>
        <w:t>第七届黑龙江省</w:t>
      </w:r>
      <w:r>
        <w:rPr>
          <w:rFonts w:hint="eastAsia" w:ascii="Times New Roman" w:hAnsi="Times New Roman" w:eastAsia="仿宋_GB2312" w:cs="仿宋_GB2312"/>
          <w:sz w:val="32"/>
          <w:szCs w:val="32"/>
        </w:rPr>
        <w:t>高校网络教育优秀作品推选展示活动</w:t>
      </w:r>
      <w:r>
        <w:rPr>
          <w:rFonts w:hint="default" w:ascii="Times New Roman" w:hAnsi="Times New Roman" w:eastAsia="仿宋_GB2312" w:cs="仿宋_GB2312"/>
          <w:sz w:val="32"/>
          <w:szCs w:val="32"/>
        </w:rPr>
        <w:t>报名入口</w:t>
      </w:r>
      <w:r>
        <w:rPr>
          <w:rFonts w:hint="eastAsia" w:ascii="Times New Roman" w:hAnsi="Times New Roman" w:eastAsia="仿宋_GB2312" w:cs="仿宋_GB2312"/>
          <w:sz w:val="32"/>
          <w:szCs w:val="32"/>
          <w:lang w:eastAsia="zh-CN"/>
        </w:rPr>
        <w:t>”</w:t>
      </w:r>
      <w:r>
        <w:rPr>
          <w:rFonts w:hint="default" w:ascii="Times New Roman" w:hAnsi="Times New Roman" w:eastAsia="仿宋_GB2312" w:cs="仿宋_GB2312"/>
          <w:sz w:val="32"/>
          <w:szCs w:val="32"/>
          <w:lang w:val="en-US" w:eastAsia="zh-CN"/>
        </w:rPr>
        <w:t>按要求提交</w:t>
      </w:r>
      <w:r>
        <w:rPr>
          <w:rFonts w:hint="eastAsia" w:ascii="Times New Roman" w:hAnsi="Times New Roman" w:eastAsia="仿宋_GB2312" w:cs="仿宋_GB2312"/>
          <w:sz w:val="32"/>
          <w:szCs w:val="32"/>
          <w:lang w:val="en-US" w:eastAsia="zh-CN"/>
        </w:rPr>
        <w:t>相关材料</w:t>
      </w:r>
      <w:r>
        <w:rPr>
          <w:rFonts w:hint="default" w:ascii="Times New Roman" w:hAnsi="Times New Roman" w:eastAsia="仿宋_GB2312" w:cs="仿宋_GB2312"/>
          <w:sz w:val="32"/>
          <w:szCs w:val="32"/>
          <w:lang w:val="en-US" w:eastAsia="zh-CN"/>
        </w:rPr>
        <w:t>。所有作品提交后，作品名称、作者及指导教师姓名均不予以修改，信息表和汇总表信息一致，截止时间2023年11月30日，</w:t>
      </w:r>
      <w:r>
        <w:rPr>
          <w:rFonts w:hint="default" w:ascii="Times New Roman" w:hAnsi="Times New Roman" w:eastAsia="仿宋_GB2312" w:cs="仿宋_GB2312"/>
          <w:sz w:val="32"/>
          <w:szCs w:val="32"/>
        </w:rPr>
        <w:t>逾期视为放弃</w:t>
      </w:r>
      <w:r>
        <w:rPr>
          <w:rFonts w:hint="default" w:ascii="Times New Roman" w:hAnsi="Times New Roman" w:eastAsia="仿宋_GB2312" w:cs="仿宋_GB2312"/>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lang w:val="en-US" w:eastAsia="zh-CN"/>
        </w:rPr>
        <w:t>2</w:t>
      </w:r>
      <w:r>
        <w:rPr>
          <w:rFonts w:hint="default"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同一作品只能参加全省大学生网络文化节、全省高校网络教育优秀作品推选展示活动其中一项，以著作权归属确认其作品的教师（个人/团体）或学生（个人/团体）属性，重复提交的作品或著作权认定不清的作品，将取消参与资格。</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3.入选后如推荐到国家参赛，作者可</w:t>
      </w:r>
      <w:r>
        <w:rPr>
          <w:rFonts w:hint="default" w:ascii="Times New Roman" w:hAnsi="Times New Roman" w:eastAsia="仿宋_GB2312" w:cs="仿宋_GB2312"/>
          <w:sz w:val="32"/>
          <w:szCs w:val="32"/>
        </w:rPr>
        <w:t>提供必要的</w:t>
      </w:r>
      <w:r>
        <w:rPr>
          <w:rFonts w:hint="eastAsia" w:ascii="Times New Roman" w:hAnsi="Times New Roman" w:eastAsia="仿宋_GB2312" w:cs="仿宋_GB2312"/>
          <w:sz w:val="32"/>
          <w:szCs w:val="32"/>
          <w:lang w:val="en-US" w:eastAsia="zh-CN"/>
        </w:rPr>
        <w:t>佐证作品影响力</w:t>
      </w:r>
      <w:r>
        <w:rPr>
          <w:rFonts w:hint="default" w:ascii="Times New Roman" w:hAnsi="Times New Roman" w:eastAsia="仿宋_GB2312" w:cs="仿宋_GB2312"/>
          <w:sz w:val="32"/>
          <w:szCs w:val="32"/>
        </w:rPr>
        <w:t>推荐辅助材料（包括转发及引用率、领导批示、成果鉴定</w:t>
      </w:r>
      <w:r>
        <w:rPr>
          <w:rFonts w:hint="default" w:ascii="Times New Roman" w:hAnsi="Times New Roman" w:eastAsia="仿宋_GB2312" w:cs="仿宋_GB2312"/>
          <w:sz w:val="32"/>
          <w:szCs w:val="32"/>
          <w:lang w:eastAsia="zh-CN"/>
        </w:rPr>
        <w:t>、</w:t>
      </w:r>
      <w:r>
        <w:rPr>
          <w:rFonts w:hint="default" w:ascii="Times New Roman" w:hAnsi="Times New Roman" w:eastAsia="仿宋_GB2312" w:cs="仿宋_GB2312"/>
          <w:sz w:val="32"/>
          <w:szCs w:val="32"/>
        </w:rPr>
        <w:t>专家推荐信等），并由</w:t>
      </w:r>
      <w:r>
        <w:rPr>
          <w:rFonts w:hint="eastAsia" w:ascii="Times New Roman" w:hAnsi="Times New Roman" w:eastAsia="仿宋_GB2312" w:cs="仿宋_GB2312"/>
          <w:sz w:val="32"/>
          <w:szCs w:val="32"/>
          <w:lang w:val="en-US" w:eastAsia="zh-CN"/>
        </w:rPr>
        <w:t>作者</w:t>
      </w:r>
      <w:r>
        <w:rPr>
          <w:rFonts w:hint="default" w:ascii="Times New Roman" w:hAnsi="Times New Roman" w:eastAsia="仿宋_GB2312" w:cs="仿宋_GB2312"/>
          <w:sz w:val="32"/>
          <w:szCs w:val="32"/>
        </w:rPr>
        <w:t>所在</w:t>
      </w:r>
      <w:r>
        <w:rPr>
          <w:rFonts w:hint="eastAsia" w:ascii="Times New Roman" w:hAnsi="Times New Roman" w:eastAsia="仿宋_GB2312" w:cs="仿宋_GB2312"/>
          <w:sz w:val="32"/>
          <w:szCs w:val="32"/>
          <w:lang w:val="en-US" w:eastAsia="zh-CN"/>
        </w:rPr>
        <w:t>高校负责</w:t>
      </w:r>
      <w:r>
        <w:rPr>
          <w:rFonts w:hint="default" w:ascii="Times New Roman" w:hAnsi="Times New Roman" w:eastAsia="仿宋_GB2312" w:cs="仿宋_GB2312"/>
          <w:sz w:val="32"/>
          <w:szCs w:val="32"/>
        </w:rPr>
        <w:t>网络文化建设管理</w:t>
      </w:r>
      <w:r>
        <w:rPr>
          <w:rFonts w:hint="eastAsia" w:ascii="Times New Roman" w:hAnsi="Times New Roman" w:eastAsia="仿宋_GB2312" w:cs="仿宋_GB2312"/>
          <w:sz w:val="32"/>
          <w:szCs w:val="32"/>
          <w:lang w:val="en-US" w:eastAsia="zh-CN"/>
        </w:rPr>
        <w:t>相关</w:t>
      </w:r>
      <w:r>
        <w:rPr>
          <w:rFonts w:hint="default" w:ascii="Times New Roman" w:hAnsi="Times New Roman" w:eastAsia="仿宋_GB2312" w:cs="仿宋_GB2312"/>
          <w:sz w:val="32"/>
          <w:szCs w:val="32"/>
        </w:rPr>
        <w:t>部门审核盖章。材料严禁作假，一经发现取消推选展示资格，并通报相关学校党委。</w:t>
      </w:r>
    </w:p>
    <w:p>
      <w:pPr>
        <w:keepNext w:val="0"/>
        <w:keepLines w:val="0"/>
        <w:pageBreakBefore w:val="0"/>
        <w:widowControl/>
        <w:kinsoku w:val="0"/>
        <w:wordWrap w:val="0"/>
        <w:overflowPunct/>
        <w:topLinePunct w:val="0"/>
        <w:autoSpaceDE w:val="0"/>
        <w:autoSpaceDN w:val="0"/>
        <w:bidi w:val="0"/>
        <w:adjustRightInd w:val="0"/>
        <w:snapToGrid w:val="0"/>
        <w:spacing w:line="580" w:lineRule="exact"/>
        <w:ind w:left="0" w:leftChars="0" w:right="0" w:firstLine="640" w:firstLineChars="200"/>
        <w:jc w:val="both"/>
        <w:textAlignment w:val="baseline"/>
        <w:rPr>
          <w:rFonts w:hint="default" w:ascii="Times New Roman" w:hAnsi="Times New Roman" w:eastAsia="仿宋_GB2312" w:cs="Times New Roman"/>
          <w:color w:val="000000"/>
          <w:kern w:val="0"/>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left="0" w:leftChars="0" w:right="0" w:firstLine="640" w:firstLineChars="200"/>
        <w:jc w:val="both"/>
        <w:textAlignment w:val="baseline"/>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附件2-1</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第七届全省高校网络教育优秀作品推选展示活动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right="0" w:firstLine="1920" w:firstLineChars="600"/>
        <w:jc w:val="both"/>
        <w:textAlignment w:val="baseline"/>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作品创作选题指南</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left="0" w:leftChars="0" w:right="0" w:firstLine="640" w:firstLineChars="200"/>
        <w:jc w:val="both"/>
        <w:textAlignment w:val="baseline"/>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附件2-2</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第七届全省高校网络教育优秀作品推选展示活动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left="0" w:leftChars="0" w:right="0" w:firstLine="1920" w:firstLineChars="600"/>
        <w:jc w:val="both"/>
        <w:textAlignment w:val="baseline"/>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作品征集信息表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left="0" w:leftChars="0" w:right="0" w:firstLine="640" w:firstLineChars="200"/>
        <w:jc w:val="both"/>
        <w:textAlignment w:val="baseline"/>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附件2-3</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第七届全省高校网络教育优秀作品推选展示活动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left="0" w:leftChars="0" w:right="0" w:firstLine="1920" w:firstLineChars="600"/>
        <w:jc w:val="both"/>
        <w:textAlignment w:val="baseline"/>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作品征集汇总表</w:t>
      </w:r>
    </w:p>
    <w:p>
      <w:pPr>
        <w:keepNext w:val="0"/>
        <w:keepLines w:val="0"/>
        <w:pageBreakBefore w:val="0"/>
        <w:widowControl/>
        <w:numPr>
          <w:ilvl w:val="0"/>
          <w:numId w:val="0"/>
        </w:numPr>
        <w:wordWrap/>
        <w:overflowPunct/>
        <w:topLinePunct w:val="0"/>
        <w:bidi w:val="0"/>
        <w:adjustRightInd w:val="0"/>
        <w:snapToGrid w:val="0"/>
        <w:spacing w:line="560" w:lineRule="exact"/>
        <w:ind w:left="0" w:leftChars="0" w:right="0" w:firstLine="640" w:firstLineChars="200"/>
        <w:jc w:val="both"/>
        <w:rPr>
          <w:rFonts w:hint="default" w:ascii="Times New Roman" w:hAnsi="Times New Roman" w:eastAsia="仿宋_GB2312" w:cs="Times New Roman"/>
          <w:color w:val="000000"/>
          <w:sz w:val="32"/>
          <w:szCs w:val="32"/>
          <w:lang w:val="en-US" w:eastAsia="zh-CN"/>
        </w:rPr>
      </w:pPr>
    </w:p>
    <w:p>
      <w:pPr>
        <w:keepNext w:val="0"/>
        <w:keepLines w:val="0"/>
        <w:pageBreakBefore/>
        <w:widowControl/>
        <w:kinsoku/>
        <w:overflowPunct/>
        <w:topLinePunct w:val="0"/>
        <w:autoSpaceDE w:val="0"/>
        <w:autoSpaceDN w:val="0"/>
        <w:bidi w:val="0"/>
        <w:adjustRightInd w:val="0"/>
        <w:snapToGrid/>
        <w:spacing w:line="560" w:lineRule="exact"/>
        <w:ind w:left="0" w:leftChars="0" w:right="0"/>
        <w:jc w:val="left"/>
        <w:textAlignment w:val="auto"/>
        <w:rPr>
          <w:rFonts w:hint="default" w:ascii="黑体" w:hAnsi="黑体" w:eastAsia="黑体" w:cs="Times New Roman"/>
          <w:snapToGrid/>
          <w:color w:val="000000"/>
          <w:kern w:val="2"/>
          <w:sz w:val="32"/>
          <w:szCs w:val="32"/>
          <w:lang w:val="en-US" w:eastAsia="zh-CN" w:bidi="ar-SA"/>
        </w:rPr>
      </w:pPr>
      <w:r>
        <w:rPr>
          <w:rFonts w:hint="eastAsia" w:ascii="黑体" w:hAnsi="黑体" w:eastAsia="黑体" w:cs="Times New Roman"/>
          <w:snapToGrid/>
          <w:color w:val="000000"/>
          <w:kern w:val="2"/>
          <w:sz w:val="32"/>
          <w:szCs w:val="32"/>
          <w:lang w:val="en-US" w:eastAsia="zh-CN" w:bidi="ar-SA"/>
        </w:rPr>
        <w:t>附件2-1</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eastAsia" w:ascii="方正小标宋简体" w:hAnsi="方正小标宋简体" w:eastAsia="方正小标宋简体" w:cs="方正小标宋简体"/>
          <w:spacing w:val="18"/>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spacing w:val="9"/>
          <w:sz w:val="44"/>
          <w:szCs w:val="44"/>
        </w:rPr>
      </w:pPr>
      <w:r>
        <w:rPr>
          <w:rFonts w:hint="eastAsia" w:ascii="方正小标宋简体" w:hAnsi="方正小标宋简体" w:eastAsia="方正小标宋简体" w:cs="方正小标宋简体"/>
          <w:spacing w:val="18"/>
          <w:sz w:val="44"/>
          <w:szCs w:val="44"/>
        </w:rPr>
        <w:t>第</w:t>
      </w:r>
      <w:r>
        <w:rPr>
          <w:rFonts w:hint="eastAsia" w:ascii="方正小标宋简体" w:hAnsi="方正小标宋简体" w:eastAsia="方正小标宋简体" w:cs="方正小标宋简体"/>
          <w:spacing w:val="15"/>
          <w:sz w:val="44"/>
          <w:szCs w:val="44"/>
          <w:lang w:val="en-US" w:eastAsia="zh-CN"/>
        </w:rPr>
        <w:t>七</w:t>
      </w:r>
      <w:r>
        <w:rPr>
          <w:rFonts w:hint="eastAsia" w:ascii="方正小标宋简体" w:hAnsi="方正小标宋简体" w:eastAsia="方正小标宋简体" w:cs="方正小标宋简体"/>
          <w:spacing w:val="9"/>
          <w:sz w:val="44"/>
          <w:szCs w:val="44"/>
        </w:rPr>
        <w:t>届</w:t>
      </w:r>
      <w:r>
        <w:rPr>
          <w:rFonts w:hint="eastAsia" w:ascii="方正小标宋简体" w:hAnsi="方正小标宋简体" w:eastAsia="方正小标宋简体" w:cs="方正小标宋简体"/>
          <w:spacing w:val="9"/>
          <w:sz w:val="44"/>
          <w:szCs w:val="44"/>
          <w:lang w:val="en-US" w:eastAsia="zh-CN"/>
        </w:rPr>
        <w:t>全省</w:t>
      </w:r>
      <w:r>
        <w:rPr>
          <w:rFonts w:hint="eastAsia" w:ascii="方正小标宋简体" w:hAnsi="方正小标宋简体" w:eastAsia="方正小标宋简体" w:cs="方正小标宋简体"/>
          <w:spacing w:val="9"/>
          <w:sz w:val="44"/>
          <w:szCs w:val="44"/>
        </w:rPr>
        <w:t>高校网络教育优秀作品</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spacing w:val="9"/>
          <w:sz w:val="44"/>
          <w:szCs w:val="44"/>
        </w:rPr>
      </w:pPr>
      <w:r>
        <w:rPr>
          <w:rFonts w:hint="eastAsia" w:ascii="方正小标宋简体" w:hAnsi="方正小标宋简体" w:eastAsia="方正小标宋简体" w:cs="方正小标宋简体"/>
          <w:spacing w:val="9"/>
          <w:sz w:val="44"/>
          <w:szCs w:val="44"/>
        </w:rPr>
        <w:t>推选展示活动</w:t>
      </w:r>
      <w:r>
        <w:rPr>
          <w:rFonts w:hint="eastAsia" w:ascii="方正小标宋简体" w:hAnsi="方正小标宋简体" w:eastAsia="方正小标宋简体" w:cs="方正小标宋简体"/>
          <w:spacing w:val="12"/>
          <w:sz w:val="44"/>
          <w:szCs w:val="44"/>
        </w:rPr>
        <w:t>作</w:t>
      </w:r>
      <w:r>
        <w:rPr>
          <w:rFonts w:hint="eastAsia" w:ascii="方正小标宋简体" w:hAnsi="方正小标宋简体" w:eastAsia="方正小标宋简体" w:cs="方正小标宋简体"/>
          <w:spacing w:val="9"/>
          <w:sz w:val="44"/>
          <w:szCs w:val="44"/>
        </w:rPr>
        <w:t>品创作选题指南</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hanging="2338"/>
        <w:jc w:val="center"/>
        <w:textAlignment w:val="baseline"/>
        <w:rPr>
          <w:rFonts w:hint="eastAsia" w:ascii="方正小标宋简体" w:hAnsi="方正小标宋简体" w:eastAsia="方正小标宋简体" w:cs="方正小标宋简体"/>
          <w:spacing w:val="9"/>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2.学习宣传党的二十大精神，全面准确深入宣传党的二十大报告确立的重大理论观点和</w:t>
      </w:r>
      <w:bookmarkStart w:id="0" w:name="_GoBack"/>
      <w:bookmarkEnd w:id="0"/>
      <w:r>
        <w:rPr>
          <w:rFonts w:hint="default" w:ascii="Times New Roman" w:hAnsi="Times New Roman" w:eastAsia="仿宋_GB2312" w:cs="Times New Roman"/>
          <w:spacing w:val="10"/>
          <w:sz w:val="32"/>
          <w:szCs w:val="32"/>
        </w:rPr>
        <w:t>重大战略思想，围绕“七个讲清楚”，聚焦贯彻新发展理念、构建新发展格局、推动高质量</w:t>
      </w:r>
      <w:r>
        <w:rPr>
          <w:rFonts w:hint="default" w:ascii="Times New Roman" w:hAnsi="Times New Roman" w:eastAsia="仿宋_GB2312" w:cs="Times New Roman"/>
          <w:spacing w:val="0"/>
          <w:sz w:val="32"/>
          <w:szCs w:val="32"/>
        </w:rPr>
        <w:t>发展等内容，引导青年学生为全面建设社会主义现代化国家、</w:t>
      </w:r>
      <w:r>
        <w:rPr>
          <w:rFonts w:hint="default" w:ascii="Times New Roman" w:hAnsi="Times New Roman" w:eastAsia="仿宋_GB2312" w:cs="Times New Roman"/>
          <w:spacing w:val="10"/>
          <w:sz w:val="32"/>
          <w:szCs w:val="32"/>
        </w:rPr>
        <w:t>全面推进中华民族伟大复兴而团结奋斗。</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3.学习宣传习近平总书记重要讲话精神，结合习近平总书记工作过的重要地方、党的十八大以来习近平总书记国内考察的重要足迹，在寻访实践中重温习近平总书记有关重要论述的精神要义。</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广大青年学生砥砺成才、担当使命。</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5</w:t>
      </w:r>
      <w:r>
        <w:rPr>
          <w:rFonts w:hint="eastAsia" w:ascii="Times New Roman" w:hAnsi="Times New Roman" w:eastAsia="仿宋_GB2312" w:cs="Times New Roman"/>
          <w:spacing w:val="10"/>
          <w:sz w:val="32"/>
          <w:szCs w:val="32"/>
          <w:lang w:val="en-US" w:eastAsia="zh-CN"/>
        </w:rPr>
        <w:t>.</w:t>
      </w:r>
      <w:r>
        <w:rPr>
          <w:rFonts w:hint="default" w:ascii="Times New Roman" w:hAnsi="Times New Roman" w:eastAsia="仿宋_GB2312" w:cs="Times New Roman"/>
          <w:spacing w:val="10"/>
          <w:sz w:val="32"/>
          <w:szCs w:val="32"/>
        </w:rPr>
        <w:t>学习宣</w:t>
      </w:r>
      <w:r>
        <w:rPr>
          <w:rFonts w:hint="default" w:ascii="Times New Roman" w:hAnsi="Times New Roman" w:eastAsia="仿宋_GB2312" w:cs="Times New Roman"/>
          <w:spacing w:val="0"/>
          <w:sz w:val="32"/>
          <w:szCs w:val="32"/>
        </w:rPr>
        <w:t>传习近平总书记关于爱国主义教育的重要论述，表达青</w:t>
      </w:r>
      <w:r>
        <w:rPr>
          <w:rFonts w:hint="default" w:ascii="Times New Roman" w:hAnsi="Times New Roman" w:eastAsia="仿宋_GB2312" w:cs="Times New Roman"/>
          <w:spacing w:val="10"/>
          <w:sz w:val="32"/>
          <w:szCs w:val="32"/>
        </w:rPr>
        <w:t>年学生的爱国之情、强国之志、报国之行。</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6.学习宣传习近平总书记关于网络强国的重要思想，引导青年大学生守护网络安全，投身信息化、数字化、智能化建设。</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7.学习宣传习近平法治思想，弘扬社会主义法治理念、法治精神，培育社会主义法治文化，不断提升法治意识和法治素养，自觉尊法学法守法用法。</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8.深入开展以党史为重点的“四史”宣传教育，学习宣传中国共产党</w:t>
      </w:r>
      <w:r>
        <w:rPr>
          <w:rFonts w:hint="default" w:ascii="Times New Roman" w:hAnsi="Times New Roman" w:eastAsia="仿宋_GB2312" w:cs="Times New Roman"/>
          <w:spacing w:val="0"/>
          <w:sz w:val="32"/>
          <w:szCs w:val="32"/>
        </w:rPr>
        <w:t>人的精神谱系，弘扬伟大建党精神，用好红色资源，发扬红</w:t>
      </w:r>
      <w:r>
        <w:rPr>
          <w:rFonts w:hint="default" w:ascii="Times New Roman" w:hAnsi="Times New Roman" w:eastAsia="仿宋_GB2312" w:cs="Times New Roman"/>
          <w:spacing w:val="10"/>
          <w:sz w:val="32"/>
          <w:szCs w:val="32"/>
        </w:rPr>
        <w:t>色传统，传承红色基因，赓续共产党人精神血脉。</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9.学习弘扬中华优秀传统文化、革命文化、社会主义先进文化，践行社会主义核心价值观。</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10.开展国家安全教育，树牢总体国家安全观，从政治安全、社会安全、网络安全、科技安全、生态安全、生物安全及反间防谍、反恐防恐、反邪教等方面阐释国家安全教育的重要性，自觉维护国家安全。</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10"/>
          <w:sz w:val="32"/>
          <w:szCs w:val="32"/>
        </w:rPr>
        <w:t>11.开展网络文明教育，倡导文明理性健康上网，提升网络素养，增强辨别是非的能力，积极参与网络文明建设，争做校园好</w:t>
      </w:r>
      <w:r>
        <w:rPr>
          <w:rFonts w:hint="default" w:ascii="Times New Roman" w:hAnsi="Times New Roman" w:eastAsia="仿宋_GB2312" w:cs="Times New Roman"/>
          <w:spacing w:val="0"/>
          <w:sz w:val="32"/>
          <w:szCs w:val="32"/>
        </w:rPr>
        <w:t>网民，营造清朗网络空间，共建美好网上精神家园。</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12.落实立德树人根本任务，深入实施“时代新人铸魂工程”，抓好后继有人根本大计，培养担当民族复兴大任的时代新人，提升高校思想政治教育时代性、针对性、科学性的思考和实践。</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13.推动“三全育人”综合改革，构建高校思想政治工作体系的思考与实践。</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14.促进教师做学生为学、为事、为人的示范，成为大先生的思考与实践。</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15.推进思政工作传统优势同信息技术融合，加强网络思政教育，提升网络舆论引导能力，运用互联网技术手段开展思政工作的对策分析。</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16.开展校园文化建设，实施校园文化提能增效，强化以文化人以文育人，培育优良校风学风。</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17.开展大学生心理健康教育，普及心理健康知识，培育理性平和、积极向上的健康心态。</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18.开展诚信教育，围绕学习学术、助学贷款、就业求职等方面的问题，提升新时代大学生诚信意识，营造守信良好氛围。</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19.铸牢中华民族共同体意识，增强听党话、感党恩、跟党走的政治自觉、思想自觉和行动自觉，厚植对中华民族的认同感，构建中华民族共有精神家园。</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20.共建和谐、平安、美丽校园，实施“一站式”学生社区综合治理创新，提升广大师生安全感、获得感、幸福感。</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21.防范电信网络诈骗，提高反诈防骗能力，提升师生自我防护和遵纪守法意识。</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0" w:firstLineChars="200"/>
        <w:jc w:val="both"/>
        <w:textAlignment w:val="baseline"/>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22.</w:t>
      </w:r>
      <w:r>
        <w:rPr>
          <w:rFonts w:hint="default" w:ascii="Times New Roman" w:hAnsi="Times New Roman" w:eastAsia="仿宋_GB2312" w:cs="Times New Roman"/>
          <w:spacing w:val="0"/>
          <w:sz w:val="32"/>
          <w:szCs w:val="32"/>
        </w:rPr>
        <w:t>积极开展绿色环保、书香阅读、厉行节约、禁毒防艾、扫黄打非</w:t>
      </w:r>
      <w:r>
        <w:rPr>
          <w:rFonts w:hint="default" w:ascii="Times New Roman" w:hAnsi="Times New Roman" w:eastAsia="仿宋_GB2312" w:cs="Times New Roman"/>
          <w:spacing w:val="10"/>
          <w:sz w:val="32"/>
          <w:szCs w:val="32"/>
        </w:rPr>
        <w:t>等公益宣传。</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82" w:firstLineChars="200"/>
        <w:jc w:val="both"/>
        <w:textAlignment w:val="baseline"/>
        <w:rPr>
          <w:rFonts w:hint="default" w:ascii="Times New Roman" w:hAnsi="Times New Roman" w:eastAsia="仿宋_GB2312" w:cs="Times New Roman"/>
          <w:b/>
          <w:bCs/>
          <w:i/>
          <w:iCs/>
          <w:sz w:val="20"/>
          <w:szCs w:val="20"/>
        </w:rPr>
      </w:pPr>
      <w:r>
        <w:rPr>
          <w:rFonts w:hint="default" w:ascii="Times New Roman" w:hAnsi="Times New Roman" w:eastAsia="仿宋_GB2312" w:cs="Times New Roman"/>
          <w:b/>
          <w:bCs/>
          <w:spacing w:val="10"/>
          <w:sz w:val="32"/>
          <w:szCs w:val="32"/>
        </w:rPr>
        <w:t>（供创作参考，不限于以上主题）</w:t>
      </w:r>
    </w:p>
    <w:sectPr>
      <w:footerReference r:id="rId7" w:type="default"/>
      <w:pgSz w:w="11906" w:h="16839"/>
      <w:pgMar w:top="2098" w:right="1474" w:bottom="1984" w:left="1587" w:header="0" w:footer="895" w:gutter="0"/>
      <w:pgNumType w:start="18"/>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61"/>
      <w:rPr>
        <w:rFonts w:ascii="宋体" w:hAnsi="宋体" w:eastAsia="宋体" w:cs="宋体"/>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61"/>
      <w:rPr>
        <w:rFonts w:ascii="宋体" w:hAnsi="宋体" w:eastAsia="宋体" w:cs="宋体"/>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61"/>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TrueTypeFonts/>
  <w:saveSubset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mQzNjlhODYxNzJmM2JhOGM5MmFhMTYwZjhiNGE3NGIifQ=="/>
  </w:docVars>
  <w:rsids>
    <w:rsidRoot w:val="00000000"/>
    <w:rsid w:val="015974C0"/>
    <w:rsid w:val="044C50BA"/>
    <w:rsid w:val="05AC4062"/>
    <w:rsid w:val="0749236A"/>
    <w:rsid w:val="074A3B33"/>
    <w:rsid w:val="0B9C06AC"/>
    <w:rsid w:val="0D3D2768"/>
    <w:rsid w:val="10C81494"/>
    <w:rsid w:val="13CC58CF"/>
    <w:rsid w:val="14891B03"/>
    <w:rsid w:val="15204625"/>
    <w:rsid w:val="1BBB45CD"/>
    <w:rsid w:val="1BCC34C6"/>
    <w:rsid w:val="1DA97E01"/>
    <w:rsid w:val="1F484D21"/>
    <w:rsid w:val="20CA0678"/>
    <w:rsid w:val="21BB5392"/>
    <w:rsid w:val="21D92AFA"/>
    <w:rsid w:val="23EC697A"/>
    <w:rsid w:val="27044019"/>
    <w:rsid w:val="294F608D"/>
    <w:rsid w:val="29B50E88"/>
    <w:rsid w:val="2CA831E7"/>
    <w:rsid w:val="2D3B3177"/>
    <w:rsid w:val="2E0730BB"/>
    <w:rsid w:val="2EBD5BCC"/>
    <w:rsid w:val="2ED22181"/>
    <w:rsid w:val="33DC4E24"/>
    <w:rsid w:val="35F8788B"/>
    <w:rsid w:val="39346BC2"/>
    <w:rsid w:val="3D011811"/>
    <w:rsid w:val="3F444158"/>
    <w:rsid w:val="3F4621F2"/>
    <w:rsid w:val="3F9F0FF2"/>
    <w:rsid w:val="4092344A"/>
    <w:rsid w:val="423D7815"/>
    <w:rsid w:val="43E359C6"/>
    <w:rsid w:val="44501A81"/>
    <w:rsid w:val="4D31441A"/>
    <w:rsid w:val="4DC4703C"/>
    <w:rsid w:val="4DE5026E"/>
    <w:rsid w:val="52D7511B"/>
    <w:rsid w:val="532F6D06"/>
    <w:rsid w:val="53AF5499"/>
    <w:rsid w:val="54C77EA4"/>
    <w:rsid w:val="55BA1D17"/>
    <w:rsid w:val="55DC0267"/>
    <w:rsid w:val="57EA39BA"/>
    <w:rsid w:val="590558C0"/>
    <w:rsid w:val="5C7505B4"/>
    <w:rsid w:val="5DF52041"/>
    <w:rsid w:val="5F072427"/>
    <w:rsid w:val="5F824661"/>
    <w:rsid w:val="5FCE4BE3"/>
    <w:rsid w:val="62CF4061"/>
    <w:rsid w:val="63F57AF7"/>
    <w:rsid w:val="641D51CA"/>
    <w:rsid w:val="67356164"/>
    <w:rsid w:val="68872F0B"/>
    <w:rsid w:val="6C394CF0"/>
    <w:rsid w:val="6D721A83"/>
    <w:rsid w:val="6E8B016D"/>
    <w:rsid w:val="6ED120B7"/>
    <w:rsid w:val="6F3516F0"/>
    <w:rsid w:val="71617275"/>
    <w:rsid w:val="71FD5B85"/>
    <w:rsid w:val="731FB449"/>
    <w:rsid w:val="753A5F9D"/>
    <w:rsid w:val="791824E6"/>
    <w:rsid w:val="7C003181"/>
    <w:rsid w:val="7D8D510B"/>
    <w:rsid w:val="7E01736D"/>
    <w:rsid w:val="7F865799"/>
    <w:rsid w:val="7FBA4E7D"/>
    <w:rsid w:val="7FFF28B4"/>
    <w:rsid w:val="ECF6CA03"/>
    <w:rsid w:val="F57DFE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3535</Words>
  <Characters>3633</Characters>
  <TotalTime>14</TotalTime>
  <ScaleCrop>false</ScaleCrop>
  <LinksUpToDate>false</LinksUpToDate>
  <CharactersWithSpaces>3683</CharactersWithSpaces>
  <Application>WPS Office_11.8.2.9864_F1E327BC-269C-435d-A152-05C5408002CA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2022-05-01T02:30:00Z</dcterms:created>
  <dc:creator>a</dc:creator>
  <cp:lastModifiedBy>greatwall</cp:lastModifiedBy>
  <cp:lastPrinted>2023-09-28T14:20:23Z</cp:lastPrinted>
  <dcterms:modified xsi:type="dcterms:W3CDTF">2023-09-28T14:31:27Z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2022-05-14T14:36:34Z</vt:filetime>
  </property>
  <property fmtid="{D5CDD505-2E9C-101B-9397-08002B2CF9AE}" pid="4" name="KSOProductBuildVer">
    <vt:lpwstr>2052-11.8.2.9864</vt:lpwstr>
  </property>
  <property fmtid="{D5CDD505-2E9C-101B-9397-08002B2CF9AE}" pid="5" name="ICV">
    <vt:lpwstr>FB91F2C0974640E1AFED24A7EE8C5296_13</vt:lpwstr>
  </property>
</Properties>
</file>